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9" w:rsidRPr="00F055E4" w:rsidRDefault="005C4FD9" w:rsidP="004920E2">
      <w:pPr>
        <w:ind w:right="-9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5E4">
        <w:rPr>
          <w:rFonts w:ascii="Times New Roman" w:hAnsi="Times New Roman" w:cs="Times New Roman"/>
          <w:sz w:val="24"/>
          <w:szCs w:val="24"/>
        </w:rPr>
        <w:t>Доклад</w:t>
      </w:r>
    </w:p>
    <w:p w:rsidR="005C4FD9" w:rsidRPr="00F055E4" w:rsidRDefault="00994AD8" w:rsidP="004920E2">
      <w:pPr>
        <w:ind w:right="-93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5E4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F055E4">
        <w:rPr>
          <w:rFonts w:ascii="Times New Roman" w:hAnsi="Times New Roman" w:cs="Times New Roman"/>
          <w:sz w:val="24"/>
          <w:szCs w:val="24"/>
        </w:rPr>
        <w:t xml:space="preserve"> Александра Васильевича</w:t>
      </w:r>
      <w:r w:rsidR="005C4FD9" w:rsidRPr="00F055E4">
        <w:rPr>
          <w:rFonts w:ascii="Times New Roman" w:hAnsi="Times New Roman" w:cs="Times New Roman"/>
          <w:sz w:val="24"/>
          <w:szCs w:val="24"/>
        </w:rPr>
        <w:t xml:space="preserve"> – Главы </w:t>
      </w:r>
      <w:proofErr w:type="spellStart"/>
      <w:r w:rsidR="005C4FD9" w:rsidRPr="00F055E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C4FD9" w:rsidRPr="00F055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C4FD9" w:rsidRPr="00F055E4" w:rsidRDefault="005C4FD9" w:rsidP="004920E2">
      <w:pPr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FD9" w:rsidRPr="00F055E4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E4">
        <w:rPr>
          <w:rFonts w:ascii="Times New Roman" w:hAnsi="Times New Roman" w:cs="Times New Roman"/>
          <w:b/>
          <w:sz w:val="24"/>
          <w:szCs w:val="24"/>
        </w:rPr>
        <w:t xml:space="preserve">О достигнутых  значениях показателей для оценки эффективности деятельности органа  местного самоуправления  - </w:t>
      </w:r>
      <w:proofErr w:type="spellStart"/>
      <w:r w:rsidRPr="00F055E4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Pr="00F055E4">
        <w:rPr>
          <w:rFonts w:ascii="Times New Roman" w:hAnsi="Times New Roman" w:cs="Times New Roman"/>
          <w:b/>
          <w:sz w:val="24"/>
          <w:szCs w:val="24"/>
        </w:rPr>
        <w:t xml:space="preserve"> район  за  201</w:t>
      </w:r>
      <w:r w:rsidR="00F055E4">
        <w:rPr>
          <w:rFonts w:ascii="Times New Roman" w:hAnsi="Times New Roman" w:cs="Times New Roman"/>
          <w:b/>
          <w:sz w:val="24"/>
          <w:szCs w:val="24"/>
        </w:rPr>
        <w:t>5</w:t>
      </w:r>
      <w:r w:rsidR="0003209E" w:rsidRPr="00F05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E2" w:rsidRPr="00F055E4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C4FD9" w:rsidRPr="000032CB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FD9" w:rsidRPr="00F055E4" w:rsidRDefault="005C4FD9" w:rsidP="00B50993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gtFrame="_blank" w:history="1">
        <w:r w:rsidR="006B3CC7" w:rsidRPr="0071225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71225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6B3CC7" w:rsidRPr="0071225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</w:t>
        </w:r>
        <w:proofErr w:type="gramEnd"/>
        <w:r w:rsidR="006B3CC7" w:rsidRPr="0071225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6B3CC7" w:rsidRPr="0071225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районов" и подпункта "и" пункта 2 Указа Президента Российской Федерации от 7 мая 2012 г. № 601 "Об основных направлениях совершенствования системы государственного управления"</w:t>
        </w:r>
      </w:hyperlink>
      <w:r w:rsidRPr="007122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gtFrame="_blank" w:history="1">
        <w:r w:rsidR="00357C01" w:rsidRPr="0071225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Губернатора Курганской области от 24 апреля 2013 года № 133 "Об оценке эффективности деятельности органов местного самоуправления городских округов и муниципальных районов Курганской области"</w:t>
        </w:r>
      </w:hyperlink>
      <w:r w:rsidRPr="00F055E4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деятельности </w:t>
      </w:r>
      <w:r w:rsidR="00357C01" w:rsidRPr="00F055E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F055E4">
        <w:rPr>
          <w:rFonts w:ascii="Times New Roman" w:hAnsi="Times New Roman" w:cs="Times New Roman"/>
          <w:sz w:val="24"/>
          <w:szCs w:val="24"/>
        </w:rPr>
        <w:t xml:space="preserve"> </w:t>
      </w:r>
      <w:r w:rsidR="00357C01" w:rsidRPr="00F055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55E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055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7C01" w:rsidRPr="00F055E4">
        <w:rPr>
          <w:rFonts w:ascii="Times New Roman" w:hAnsi="Times New Roman" w:cs="Times New Roman"/>
          <w:sz w:val="24"/>
          <w:szCs w:val="24"/>
        </w:rPr>
        <w:t>»</w:t>
      </w:r>
      <w:r w:rsidRPr="00F055E4">
        <w:rPr>
          <w:rFonts w:ascii="Times New Roman" w:hAnsi="Times New Roman" w:cs="Times New Roman"/>
          <w:sz w:val="24"/>
          <w:szCs w:val="24"/>
        </w:rPr>
        <w:t xml:space="preserve"> за 201</w:t>
      </w:r>
      <w:r w:rsidR="00F055E4">
        <w:rPr>
          <w:rFonts w:ascii="Times New Roman" w:hAnsi="Times New Roman" w:cs="Times New Roman"/>
          <w:sz w:val="24"/>
          <w:szCs w:val="24"/>
        </w:rPr>
        <w:t xml:space="preserve">5 </w:t>
      </w:r>
      <w:r w:rsidR="00B50B12" w:rsidRPr="00F055E4">
        <w:rPr>
          <w:rFonts w:ascii="Times New Roman" w:hAnsi="Times New Roman" w:cs="Times New Roman"/>
          <w:sz w:val="24"/>
          <w:szCs w:val="24"/>
        </w:rPr>
        <w:t>год.</w:t>
      </w:r>
      <w:proofErr w:type="gramEnd"/>
    </w:p>
    <w:p w:rsidR="00B50B12" w:rsidRPr="00F055E4" w:rsidRDefault="00B50B12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5E4">
        <w:rPr>
          <w:rFonts w:ascii="Times New Roman" w:hAnsi="Times New Roman" w:cs="Times New Roman"/>
          <w:sz w:val="24"/>
          <w:szCs w:val="24"/>
        </w:rPr>
        <w:t>В 201</w:t>
      </w:r>
      <w:r w:rsidR="00F055E4" w:rsidRPr="00F055E4">
        <w:rPr>
          <w:rFonts w:ascii="Times New Roman" w:hAnsi="Times New Roman" w:cs="Times New Roman"/>
          <w:sz w:val="24"/>
          <w:szCs w:val="24"/>
        </w:rPr>
        <w:t>5</w:t>
      </w:r>
      <w:r w:rsidRPr="00F055E4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proofErr w:type="spellStart"/>
      <w:r w:rsidRPr="00F055E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055E4">
        <w:rPr>
          <w:rFonts w:ascii="Times New Roman" w:hAnsi="Times New Roman" w:cs="Times New Roman"/>
          <w:sz w:val="24"/>
          <w:szCs w:val="24"/>
        </w:rPr>
        <w:t xml:space="preserve"> района продо</w:t>
      </w:r>
      <w:r w:rsidR="00C54F6C" w:rsidRPr="00F055E4">
        <w:rPr>
          <w:rFonts w:ascii="Times New Roman" w:hAnsi="Times New Roman" w:cs="Times New Roman"/>
          <w:sz w:val="24"/>
          <w:szCs w:val="24"/>
        </w:rPr>
        <w:t>лжала работать над реализацией П</w:t>
      </w:r>
      <w:r w:rsidRPr="00F055E4">
        <w:rPr>
          <w:rFonts w:ascii="Times New Roman" w:hAnsi="Times New Roman" w:cs="Times New Roman"/>
          <w:sz w:val="24"/>
          <w:szCs w:val="24"/>
        </w:rPr>
        <w:t>рограммы социально-экономического развития района</w:t>
      </w:r>
      <w:r w:rsidR="00CA0A48" w:rsidRPr="00F055E4">
        <w:rPr>
          <w:rFonts w:ascii="Times New Roman" w:hAnsi="Times New Roman" w:cs="Times New Roman"/>
          <w:sz w:val="24"/>
          <w:szCs w:val="24"/>
        </w:rPr>
        <w:t xml:space="preserve"> </w:t>
      </w:r>
      <w:r w:rsidR="00C54F6C" w:rsidRPr="00F055E4">
        <w:rPr>
          <w:rFonts w:ascii="Times New Roman" w:hAnsi="Times New Roman" w:cs="Times New Roman"/>
          <w:sz w:val="24"/>
          <w:szCs w:val="24"/>
        </w:rPr>
        <w:t>на 201</w:t>
      </w:r>
      <w:r w:rsidR="00F055E4" w:rsidRPr="00F055E4">
        <w:rPr>
          <w:rFonts w:ascii="Times New Roman" w:hAnsi="Times New Roman" w:cs="Times New Roman"/>
          <w:sz w:val="24"/>
          <w:szCs w:val="24"/>
        </w:rPr>
        <w:t>5</w:t>
      </w:r>
      <w:r w:rsidR="00C54F6C" w:rsidRPr="00F055E4">
        <w:rPr>
          <w:rFonts w:ascii="Times New Roman" w:hAnsi="Times New Roman" w:cs="Times New Roman"/>
          <w:sz w:val="24"/>
          <w:szCs w:val="24"/>
        </w:rPr>
        <w:t xml:space="preserve"> год и среднесрочную перспективу </w:t>
      </w:r>
      <w:r w:rsidR="00CA0A48" w:rsidRPr="00F055E4">
        <w:rPr>
          <w:rFonts w:ascii="Times New Roman" w:hAnsi="Times New Roman" w:cs="Times New Roman"/>
          <w:sz w:val="24"/>
          <w:szCs w:val="24"/>
        </w:rPr>
        <w:t>и Стратегии социально-экономического развития района до 2020 года</w:t>
      </w:r>
      <w:r w:rsidRPr="00F055E4">
        <w:rPr>
          <w:rFonts w:ascii="Times New Roman" w:hAnsi="Times New Roman" w:cs="Times New Roman"/>
          <w:sz w:val="24"/>
          <w:szCs w:val="24"/>
        </w:rPr>
        <w:t xml:space="preserve">. Большое внимание уделялось развитию </w:t>
      </w:r>
      <w:r w:rsidR="00CA0A48" w:rsidRPr="00F055E4">
        <w:rPr>
          <w:rFonts w:ascii="Times New Roman" w:hAnsi="Times New Roman" w:cs="Times New Roman"/>
          <w:sz w:val="24"/>
          <w:szCs w:val="24"/>
        </w:rPr>
        <w:t>экономики и социальной сферы района</w:t>
      </w:r>
      <w:r w:rsidRPr="00F05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6A6" w:rsidRPr="000032CB" w:rsidRDefault="00F826A6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FD9" w:rsidRPr="002E0DB3" w:rsidRDefault="0029288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B3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650217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 xml:space="preserve">В 2015 году произошло снижение </w:t>
      </w:r>
      <w:r w:rsidRPr="00650217">
        <w:rPr>
          <w:rFonts w:ascii="Times New Roman" w:hAnsi="Times New Roman" w:cs="Times New Roman"/>
          <w:b/>
          <w:sz w:val="24"/>
          <w:szCs w:val="24"/>
        </w:rPr>
        <w:t>количества субъектов малого и среднего предпринимательства в расчёте на 10 тыс. человек населения</w:t>
      </w:r>
      <w:r w:rsidRPr="00FF362C">
        <w:rPr>
          <w:rFonts w:ascii="Times New Roman" w:hAnsi="Times New Roman" w:cs="Times New Roman"/>
          <w:sz w:val="24"/>
          <w:szCs w:val="24"/>
        </w:rPr>
        <w:t>, в связи с  закрытием субъектов малого предпри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FF362C">
        <w:rPr>
          <w:rFonts w:ascii="Times New Roman" w:hAnsi="Times New Roman" w:cs="Times New Roman"/>
          <w:sz w:val="24"/>
          <w:szCs w:val="24"/>
        </w:rPr>
        <w:t>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2C">
        <w:rPr>
          <w:rFonts w:ascii="Times New Roman" w:hAnsi="Times New Roman" w:cs="Times New Roman"/>
          <w:sz w:val="24"/>
          <w:szCs w:val="24"/>
        </w:rPr>
        <w:t>из-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F362C">
        <w:rPr>
          <w:rFonts w:ascii="Times New Roman" w:hAnsi="Times New Roman" w:cs="Times New Roman"/>
          <w:sz w:val="24"/>
          <w:szCs w:val="24"/>
        </w:rPr>
        <w:t xml:space="preserve">возникших финансовых </w:t>
      </w:r>
      <w:r>
        <w:rPr>
          <w:rFonts w:ascii="Times New Roman" w:hAnsi="Times New Roman" w:cs="Times New Roman"/>
          <w:sz w:val="24"/>
          <w:szCs w:val="24"/>
        </w:rPr>
        <w:t>сложностей и изменений в законо</w:t>
      </w:r>
      <w:r w:rsidRPr="00FF362C">
        <w:rPr>
          <w:rFonts w:ascii="Times New Roman" w:hAnsi="Times New Roman" w:cs="Times New Roman"/>
          <w:sz w:val="24"/>
          <w:szCs w:val="24"/>
        </w:rPr>
        <w:t xml:space="preserve">дательстве по начислению страховых взносов. Субъекты малого и среднего предпринимательства с низким уровнем дохода  прекращают свою  деятельность. Повышение арендной платы на занимаемые площади также  повлияло на снижение количества МСП. </w:t>
      </w:r>
    </w:p>
    <w:p w:rsidR="00650217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217">
        <w:rPr>
          <w:rFonts w:ascii="Times New Roman" w:hAnsi="Times New Roman" w:cs="Times New Roman"/>
          <w:sz w:val="24"/>
          <w:szCs w:val="24"/>
        </w:rPr>
        <w:t>В 2015 году вновь зарегистрировано 90 малых предприятий,  прекратили свою деятельность и снялись с учёта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17">
        <w:rPr>
          <w:rFonts w:ascii="Times New Roman" w:hAnsi="Times New Roman" w:cs="Times New Roman"/>
          <w:sz w:val="24"/>
          <w:szCs w:val="24"/>
        </w:rPr>
        <w:t>87 малых предприятий. По сравнению с прошлым годом количества малых предприятий выросло на 3 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17" w:rsidRPr="00FF362C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217">
        <w:rPr>
          <w:rFonts w:ascii="Times New Roman" w:hAnsi="Times New Roman" w:cs="Times New Roman"/>
          <w:sz w:val="24"/>
          <w:szCs w:val="24"/>
        </w:rPr>
        <w:t>В 2015 году вновь зарегистрировано 205 индивидуальных предпринимателей, прекратили свою деятельность - 227 ИП, по сравнению с прошлым годом количество ИП уменьшилось на 22  ед.</w:t>
      </w:r>
    </w:p>
    <w:p w:rsidR="00650217" w:rsidRPr="00FF362C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 xml:space="preserve">Несмотря на принимаемые </w:t>
      </w:r>
      <w:proofErr w:type="gramStart"/>
      <w:r w:rsidRPr="00FF362C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FF362C">
        <w:rPr>
          <w:rFonts w:ascii="Times New Roman" w:hAnsi="Times New Roman" w:cs="Times New Roman"/>
          <w:sz w:val="24"/>
          <w:szCs w:val="24"/>
        </w:rPr>
        <w:t xml:space="preserve"> пока этот процесс продолжается 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C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650217" w:rsidRPr="00FF362C" w:rsidRDefault="00650217" w:rsidP="00650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362C">
        <w:rPr>
          <w:rFonts w:ascii="Times New Roman" w:hAnsi="Times New Roman" w:cs="Times New Roman"/>
          <w:spacing w:val="-2"/>
          <w:sz w:val="24"/>
          <w:szCs w:val="24"/>
        </w:rPr>
        <w:t>Субъектам малого предпринимательств</w:t>
      </w:r>
      <w:r>
        <w:rPr>
          <w:rFonts w:ascii="Times New Roman" w:hAnsi="Times New Roman" w:cs="Times New Roman"/>
          <w:spacing w:val="-2"/>
          <w:sz w:val="24"/>
          <w:szCs w:val="24"/>
        </w:rPr>
        <w:t>а, Администрацией района, в 2015</w:t>
      </w:r>
      <w:r w:rsidRPr="00FF362C">
        <w:rPr>
          <w:rFonts w:ascii="Times New Roman" w:hAnsi="Times New Roman" w:cs="Times New Roman"/>
          <w:spacing w:val="-2"/>
          <w:sz w:val="24"/>
          <w:szCs w:val="24"/>
        </w:rPr>
        <w:t xml:space="preserve"> году постоянно оказывалась финансовая, консультативная и информационная поддержка.</w:t>
      </w:r>
    </w:p>
    <w:p w:rsidR="00650217" w:rsidRPr="00FF362C" w:rsidRDefault="00650217" w:rsidP="00650217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pacing w:val="-1"/>
          <w:sz w:val="24"/>
          <w:szCs w:val="24"/>
        </w:rPr>
        <w:t xml:space="preserve">Основным видом финансовой поддержки являются гранты, которые      предоставляются начинающим субъектам малого предпринимательства за счет средств областного и районного бюджетов на конкурсной основе в виде безвозмездных и безвозвратных денежных средств на цели реализации проектов по созданию собственного бизнеса, с последующим отчетом об использовании указанных денежных средств.   </w:t>
      </w:r>
      <w:r>
        <w:rPr>
          <w:rFonts w:ascii="Times New Roman" w:hAnsi="Times New Roman" w:cs="Times New Roman"/>
          <w:sz w:val="24"/>
          <w:szCs w:val="24"/>
        </w:rPr>
        <w:t xml:space="preserve">В 2015 </w:t>
      </w:r>
      <w:r>
        <w:rPr>
          <w:rFonts w:ascii="Times New Roman" w:hAnsi="Times New Roman" w:cs="Times New Roman"/>
          <w:sz w:val="24"/>
          <w:szCs w:val="24"/>
        </w:rPr>
        <w:lastRenderedPageBreak/>
        <w:t>году 4 субъекта</w:t>
      </w:r>
      <w:r w:rsidRPr="00FF362C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</w:t>
      </w:r>
      <w:proofErr w:type="spellStart"/>
      <w:r w:rsidRPr="00FF36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F362C">
        <w:rPr>
          <w:rFonts w:ascii="Times New Roman" w:hAnsi="Times New Roman" w:cs="Times New Roman"/>
          <w:sz w:val="24"/>
          <w:szCs w:val="24"/>
        </w:rPr>
        <w:t xml:space="preserve"> района получили гранты на организацию собственного дела, на общую </w:t>
      </w:r>
      <w:r>
        <w:rPr>
          <w:rFonts w:ascii="Times New Roman" w:hAnsi="Times New Roman" w:cs="Times New Roman"/>
          <w:sz w:val="24"/>
          <w:szCs w:val="24"/>
        </w:rPr>
        <w:t>сумму 900тыс</w:t>
      </w:r>
      <w:r w:rsidRPr="00FF362C">
        <w:rPr>
          <w:rFonts w:ascii="Times New Roman" w:hAnsi="Times New Roman" w:cs="Times New Roman"/>
          <w:sz w:val="24"/>
          <w:szCs w:val="24"/>
        </w:rPr>
        <w:t xml:space="preserve">., руб. </w:t>
      </w:r>
    </w:p>
    <w:p w:rsidR="00650217" w:rsidRPr="00FF362C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создания и развития субъектов малого и среднего предпринимательства на территории </w:t>
      </w:r>
      <w:proofErr w:type="spellStart"/>
      <w:r w:rsidRPr="00FF36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F362C">
        <w:rPr>
          <w:rFonts w:ascii="Times New Roman" w:hAnsi="Times New Roman" w:cs="Times New Roman"/>
          <w:sz w:val="24"/>
          <w:szCs w:val="24"/>
        </w:rPr>
        <w:t xml:space="preserve"> района осуществлялось в соответствии с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Pr="00FF362C">
        <w:rPr>
          <w:rFonts w:ascii="Times New Roman" w:hAnsi="Times New Roman" w:cs="Times New Roman"/>
          <w:sz w:val="24"/>
          <w:szCs w:val="24"/>
        </w:rPr>
        <w:t xml:space="preserve"> «О развитии и поддержке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2015 – 2020</w:t>
      </w:r>
      <w:r w:rsidRPr="00FF362C">
        <w:rPr>
          <w:rFonts w:ascii="Times New Roman" w:hAnsi="Times New Roman" w:cs="Times New Roman"/>
          <w:sz w:val="24"/>
          <w:szCs w:val="24"/>
        </w:rPr>
        <w:t xml:space="preserve"> годы». </w:t>
      </w:r>
    </w:p>
    <w:p w:rsidR="00650217" w:rsidRPr="00FF362C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 xml:space="preserve">В рамках данной программы, а так же с целью оказания практической поддержки  предпринимательской и трудовой инициативы граждан желающих организовать собственное дело при Администрации </w:t>
      </w:r>
      <w:proofErr w:type="spellStart"/>
      <w:r w:rsidRPr="00FF36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F362C">
        <w:rPr>
          <w:rFonts w:ascii="Times New Roman" w:hAnsi="Times New Roman" w:cs="Times New Roman"/>
          <w:sz w:val="24"/>
          <w:szCs w:val="24"/>
        </w:rPr>
        <w:t xml:space="preserve"> района продолжил свою работу районный информационно-консультационный центр поддержки пре</w:t>
      </w:r>
      <w:r>
        <w:rPr>
          <w:rFonts w:ascii="Times New Roman" w:hAnsi="Times New Roman" w:cs="Times New Roman"/>
          <w:sz w:val="24"/>
          <w:szCs w:val="24"/>
        </w:rPr>
        <w:t>дпринимательства. В течение 2015</w:t>
      </w:r>
      <w:r w:rsidRPr="00FF36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данный центр обратилось  146 </w:t>
      </w:r>
      <w:r w:rsidRPr="00FF362C">
        <w:rPr>
          <w:rFonts w:ascii="Times New Roman" w:hAnsi="Times New Roman" w:cs="Times New Roman"/>
          <w:sz w:val="24"/>
          <w:szCs w:val="24"/>
        </w:rPr>
        <w:t>человек, все они получили необходимую консультационную и практическую помощь.</w:t>
      </w:r>
    </w:p>
    <w:p w:rsidR="00650217" w:rsidRPr="00FF362C" w:rsidRDefault="00650217" w:rsidP="00650217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>В рамках действия программы развития и п</w:t>
      </w:r>
      <w:r>
        <w:rPr>
          <w:rFonts w:ascii="Times New Roman" w:hAnsi="Times New Roman" w:cs="Times New Roman"/>
          <w:sz w:val="24"/>
          <w:szCs w:val="24"/>
        </w:rPr>
        <w:t xml:space="preserve">оддержки предпринимательства 20 </w:t>
      </w:r>
      <w:r w:rsidRPr="00FF362C">
        <w:rPr>
          <w:rFonts w:ascii="Times New Roman" w:hAnsi="Times New Roman" w:cs="Times New Roman"/>
          <w:sz w:val="24"/>
          <w:szCs w:val="24"/>
        </w:rPr>
        <w:t xml:space="preserve">человек прошли </w:t>
      </w:r>
      <w:proofErr w:type="gramStart"/>
      <w:r w:rsidRPr="00FF362C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FF362C">
        <w:rPr>
          <w:rFonts w:ascii="Times New Roman" w:hAnsi="Times New Roman" w:cs="Times New Roman"/>
          <w:sz w:val="24"/>
          <w:szCs w:val="24"/>
        </w:rPr>
        <w:t xml:space="preserve"> «Школа начинающего предпринимателя» и получили соответствующие сертификаты. </w:t>
      </w:r>
    </w:p>
    <w:p w:rsidR="00650217" w:rsidRPr="00FF362C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 xml:space="preserve">Для многих предпринимателей остро стоит вопрос </w:t>
      </w:r>
      <w:r w:rsidRPr="00FF362C">
        <w:rPr>
          <w:rStyle w:val="af2"/>
          <w:rFonts w:ascii="Times New Roman" w:hAnsi="Times New Roman" w:cs="Times New Roman"/>
          <w:sz w:val="24"/>
          <w:szCs w:val="24"/>
        </w:rPr>
        <w:t>имущественной поддержки</w:t>
      </w:r>
      <w:r w:rsidRPr="00FF362C">
        <w:rPr>
          <w:rFonts w:ascii="Times New Roman" w:hAnsi="Times New Roman" w:cs="Times New Roman"/>
          <w:b/>
          <w:sz w:val="24"/>
          <w:szCs w:val="24"/>
        </w:rPr>
        <w:t>.</w:t>
      </w:r>
      <w:r w:rsidRPr="00FF362C">
        <w:rPr>
          <w:rFonts w:ascii="Times New Roman" w:hAnsi="Times New Roman" w:cs="Times New Roman"/>
        </w:rPr>
        <w:t xml:space="preserve"> </w:t>
      </w:r>
      <w:r w:rsidRPr="00FF362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в соответствии с Федеральным законом от 24 июля 2007 года №209-ФЗ «О развитии малого и среднего предпринимательства  в Российской Федерации»,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имущественная поддержка. В 2015</w:t>
      </w:r>
      <w:r w:rsidRPr="00FF362C">
        <w:rPr>
          <w:rFonts w:ascii="Times New Roman" w:hAnsi="Times New Roman" w:cs="Times New Roman"/>
          <w:sz w:val="24"/>
          <w:szCs w:val="24"/>
        </w:rPr>
        <w:t xml:space="preserve"> году в аренду данным субъектам передано 2 объекта общей площадью 58,9 кв.м.,  предоставлено в аренду и продано в собственность</w:t>
      </w:r>
      <w:r w:rsidRPr="00FF36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31,2 </w:t>
      </w:r>
      <w:r w:rsidRPr="00FF362C">
        <w:rPr>
          <w:rFonts w:ascii="Times New Roman" w:hAnsi="Times New Roman" w:cs="Times New Roman"/>
          <w:sz w:val="24"/>
          <w:szCs w:val="24"/>
        </w:rPr>
        <w:t>га земельных участков.</w:t>
      </w:r>
    </w:p>
    <w:p w:rsidR="00650217" w:rsidRPr="00FF362C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>В целях совершенствования нормативно-правовой базы муниципального образования, в части деятельности и поддержки субъектов малого и среднего предпринимательства, устранения избыточных административных, экономических и организационных барьеров в их деятельности ежегодно проводится анализ существующей нормативно - правовой базы на предмет соответствия ее законодательству, обоснованности нормативного регулирования деятельности субъектов малого и среднего предпринимательства. В результате формируется благоприятное для развития предпринимательства правовое поле.</w:t>
      </w:r>
    </w:p>
    <w:p w:rsidR="00650217" w:rsidRPr="00FF362C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>Для активизации предпринимательской деятельности, усиления взаимодействия между государством и бизнесом</w:t>
      </w:r>
      <w:r w:rsidRPr="00FF362C">
        <w:rPr>
          <w:rFonts w:ascii="Times New Roman" w:hAnsi="Times New Roman" w:cs="Times New Roman"/>
        </w:rPr>
        <w:t xml:space="preserve"> </w:t>
      </w:r>
      <w:r w:rsidRPr="00FF362C">
        <w:rPr>
          <w:rFonts w:ascii="Times New Roman" w:hAnsi="Times New Roman" w:cs="Times New Roman"/>
          <w:sz w:val="24"/>
          <w:szCs w:val="24"/>
        </w:rPr>
        <w:t>на территории района осуществляет свою деятельность районный Совет по развитию малого и среднего предпринимательства.</w:t>
      </w:r>
    </w:p>
    <w:p w:rsidR="00650217" w:rsidRPr="000E7027" w:rsidRDefault="00650217" w:rsidP="00650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E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сфере малого</w:t>
      </w:r>
      <w:r w:rsidRPr="000E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мательства за 2015 год создано 266</w:t>
      </w:r>
      <w:r w:rsidRPr="000E7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 рабочих мест.</w:t>
      </w:r>
    </w:p>
    <w:p w:rsidR="00650217" w:rsidRPr="00FF362C" w:rsidRDefault="00650217" w:rsidP="00650217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 xml:space="preserve">Для повышения информированности населения </w:t>
      </w:r>
      <w:proofErr w:type="spellStart"/>
      <w:r w:rsidRPr="00FF36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F362C">
        <w:rPr>
          <w:rFonts w:ascii="Times New Roman" w:hAnsi="Times New Roman" w:cs="Times New Roman"/>
          <w:sz w:val="24"/>
          <w:szCs w:val="24"/>
        </w:rPr>
        <w:t xml:space="preserve"> района на официальном сайте Администрации </w:t>
      </w:r>
      <w:proofErr w:type="spellStart"/>
      <w:r w:rsidRPr="00FF36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F362C">
        <w:rPr>
          <w:rFonts w:ascii="Times New Roman" w:hAnsi="Times New Roman" w:cs="Times New Roman"/>
          <w:sz w:val="24"/>
          <w:szCs w:val="24"/>
        </w:rPr>
        <w:t xml:space="preserve"> района систематически обновляется информация о мероприятиях развития и поддержки малого и среднего предпринимательства, в здании Администрации </w:t>
      </w:r>
      <w:proofErr w:type="spellStart"/>
      <w:r w:rsidRPr="00FF36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F362C">
        <w:rPr>
          <w:rFonts w:ascii="Times New Roman" w:hAnsi="Times New Roman" w:cs="Times New Roman"/>
          <w:sz w:val="24"/>
          <w:szCs w:val="24"/>
        </w:rPr>
        <w:t xml:space="preserve"> района на 1 этаже в холле отдела экономики, торговли, труда и инвестиций  оформлен информационный уголок  «В помощь предпринимателю».</w:t>
      </w:r>
    </w:p>
    <w:p w:rsidR="00650217" w:rsidRPr="00C421D6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малого предпринимательства района приняли участие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21D6">
        <w:rPr>
          <w:rFonts w:ascii="Times New Roman" w:hAnsi="Times New Roman" w:cs="Times New Roman"/>
          <w:sz w:val="24"/>
          <w:szCs w:val="24"/>
        </w:rPr>
        <w:t xml:space="preserve"> выставке «Свой бизнес. Свои инновации»  на областном Форуме предпр</w:t>
      </w:r>
      <w:r>
        <w:rPr>
          <w:rFonts w:ascii="Times New Roman" w:hAnsi="Times New Roman" w:cs="Times New Roman"/>
          <w:sz w:val="24"/>
          <w:szCs w:val="24"/>
        </w:rPr>
        <w:t xml:space="preserve">инимателей Зауралья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</w:t>
      </w:r>
      <w:r w:rsidRPr="00C421D6">
        <w:rPr>
          <w:rFonts w:ascii="Times New Roman" w:hAnsi="Times New Roman" w:cs="Times New Roman"/>
          <w:sz w:val="24"/>
          <w:szCs w:val="24"/>
        </w:rPr>
        <w:t xml:space="preserve"> на эти цели из районного бюджета выделено 10 тыс. руб.</w:t>
      </w:r>
    </w:p>
    <w:p w:rsidR="00650217" w:rsidRPr="00650217" w:rsidRDefault="00650217" w:rsidP="00650217">
      <w:pPr>
        <w:pStyle w:val="ac"/>
        <w:spacing w:after="0"/>
        <w:ind w:firstLine="567"/>
        <w:jc w:val="both"/>
        <w:rPr>
          <w:rFonts w:ascii="Times New Roman" w:hAnsi="Times New Roman"/>
        </w:rPr>
      </w:pPr>
      <w:r w:rsidRPr="00650217">
        <w:rPr>
          <w:rFonts w:ascii="Times New Roman" w:hAnsi="Times New Roman"/>
        </w:rPr>
        <w:t xml:space="preserve">  Молодые предприниматели </w:t>
      </w:r>
      <w:r>
        <w:rPr>
          <w:rFonts w:ascii="Times New Roman" w:hAnsi="Times New Roman"/>
        </w:rPr>
        <w:t xml:space="preserve">района </w:t>
      </w:r>
      <w:r w:rsidRPr="00650217">
        <w:rPr>
          <w:rFonts w:ascii="Times New Roman" w:hAnsi="Times New Roman"/>
        </w:rPr>
        <w:t xml:space="preserve">принимали участие в работе молодёжного </w:t>
      </w:r>
      <w:proofErr w:type="spellStart"/>
      <w:r w:rsidRPr="00650217">
        <w:rPr>
          <w:rFonts w:ascii="Times New Roman" w:hAnsi="Times New Roman"/>
        </w:rPr>
        <w:t>бизнес-лагеря</w:t>
      </w:r>
      <w:proofErr w:type="spellEnd"/>
      <w:r w:rsidRPr="00650217">
        <w:rPr>
          <w:rFonts w:ascii="Times New Roman" w:hAnsi="Times New Roman"/>
        </w:rPr>
        <w:t xml:space="preserve"> Зауралья, </w:t>
      </w:r>
      <w:proofErr w:type="gramStart"/>
      <w:r w:rsidRPr="00650217">
        <w:rPr>
          <w:rFonts w:ascii="Times New Roman" w:hAnsi="Times New Roman"/>
        </w:rPr>
        <w:t>который</w:t>
      </w:r>
      <w:proofErr w:type="gramEnd"/>
      <w:r w:rsidRPr="00650217">
        <w:rPr>
          <w:rFonts w:ascii="Times New Roman" w:hAnsi="Times New Roman"/>
        </w:rPr>
        <w:t xml:space="preserve"> проходил на территории </w:t>
      </w:r>
      <w:proofErr w:type="spellStart"/>
      <w:r w:rsidRPr="00650217">
        <w:rPr>
          <w:rFonts w:ascii="Times New Roman" w:hAnsi="Times New Roman"/>
        </w:rPr>
        <w:t>Кетовского</w:t>
      </w:r>
      <w:proofErr w:type="spellEnd"/>
      <w:r w:rsidRPr="00650217">
        <w:rPr>
          <w:rFonts w:ascii="Times New Roman" w:hAnsi="Times New Roman"/>
        </w:rPr>
        <w:t xml:space="preserve"> района под названием «в Деле 2015». 3 субъекта малого предпринимательства были участниками Зауральского Форума молодых предпринимателей  «в </w:t>
      </w:r>
      <w:proofErr w:type="spellStart"/>
      <w:r w:rsidRPr="00650217">
        <w:rPr>
          <w:rFonts w:ascii="Times New Roman" w:hAnsi="Times New Roman"/>
        </w:rPr>
        <w:t>КУБе</w:t>
      </w:r>
      <w:proofErr w:type="spellEnd"/>
      <w:r w:rsidRPr="00650217">
        <w:rPr>
          <w:rFonts w:ascii="Times New Roman" w:hAnsi="Times New Roman"/>
        </w:rPr>
        <w:t xml:space="preserve"> » по номинации «Сфера Услуг».</w:t>
      </w:r>
    </w:p>
    <w:p w:rsidR="00650217" w:rsidRPr="00FF362C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62C">
        <w:rPr>
          <w:rFonts w:ascii="Times New Roman" w:hAnsi="Times New Roman" w:cs="Times New Roman"/>
          <w:sz w:val="24"/>
          <w:szCs w:val="24"/>
        </w:rPr>
        <w:t>На территории района с 01.01.2013 г реализуется Закон Курганской области от 28 ноября 2012 года №65 «О патентной системе налогообложения на территории Курганской области». Проведен мо</w:t>
      </w:r>
      <w:r>
        <w:rPr>
          <w:rFonts w:ascii="Times New Roman" w:hAnsi="Times New Roman" w:cs="Times New Roman"/>
          <w:sz w:val="24"/>
          <w:szCs w:val="24"/>
        </w:rPr>
        <w:t>ниторинг действия закона за 2015</w:t>
      </w:r>
      <w:r w:rsidRPr="00FF362C">
        <w:rPr>
          <w:rFonts w:ascii="Times New Roman" w:hAnsi="Times New Roman" w:cs="Times New Roman"/>
          <w:sz w:val="24"/>
          <w:szCs w:val="24"/>
        </w:rPr>
        <w:t xml:space="preserve"> год. На патентную систему </w:t>
      </w:r>
      <w:r w:rsidRPr="00FF362C">
        <w:rPr>
          <w:rFonts w:ascii="Times New Roman" w:hAnsi="Times New Roman" w:cs="Times New Roman"/>
          <w:sz w:val="24"/>
          <w:szCs w:val="24"/>
        </w:rPr>
        <w:lastRenderedPageBreak/>
        <w:t xml:space="preserve">налогообложения перешло </w:t>
      </w:r>
      <w:r w:rsidR="008F6738">
        <w:rPr>
          <w:rFonts w:ascii="Times New Roman" w:hAnsi="Times New Roman" w:cs="Times New Roman"/>
          <w:sz w:val="24"/>
          <w:szCs w:val="24"/>
        </w:rPr>
        <w:t>40</w:t>
      </w:r>
      <w:r w:rsidRPr="00FF362C">
        <w:rPr>
          <w:rFonts w:ascii="Times New Roman" w:hAnsi="Times New Roman" w:cs="Times New Roman"/>
          <w:sz w:val="24"/>
          <w:szCs w:val="24"/>
        </w:rPr>
        <w:t xml:space="preserve"> предпринимателя, поступления </w:t>
      </w:r>
      <w:r>
        <w:rPr>
          <w:rFonts w:ascii="Times New Roman" w:hAnsi="Times New Roman" w:cs="Times New Roman"/>
          <w:sz w:val="24"/>
          <w:szCs w:val="24"/>
        </w:rPr>
        <w:t>в районный бюджет составили 782</w:t>
      </w:r>
      <w:r w:rsidR="00D54ECD">
        <w:rPr>
          <w:rFonts w:ascii="Times New Roman" w:hAnsi="Times New Roman" w:cs="Times New Roman"/>
          <w:sz w:val="24"/>
          <w:szCs w:val="24"/>
        </w:rPr>
        <w:t xml:space="preserve"> </w:t>
      </w:r>
      <w:r w:rsidRPr="00FF362C">
        <w:rPr>
          <w:rFonts w:ascii="Times New Roman" w:hAnsi="Times New Roman" w:cs="Times New Roman"/>
          <w:sz w:val="24"/>
          <w:szCs w:val="24"/>
        </w:rPr>
        <w:t>тыс. руб.</w:t>
      </w:r>
    </w:p>
    <w:p w:rsidR="00860FD6" w:rsidRPr="000032CB" w:rsidRDefault="00860FD6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FD6" w:rsidRPr="0053442B" w:rsidRDefault="00860FD6" w:rsidP="0010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2B">
        <w:rPr>
          <w:rFonts w:ascii="Times New Roman" w:hAnsi="Times New Roman" w:cs="Times New Roman"/>
          <w:b/>
          <w:sz w:val="24"/>
          <w:szCs w:val="24"/>
        </w:rPr>
        <w:t>Объём инвестиций</w:t>
      </w:r>
      <w:r w:rsidRPr="0053442B">
        <w:rPr>
          <w:rFonts w:ascii="Times New Roman" w:hAnsi="Times New Roman" w:cs="Times New Roman"/>
          <w:sz w:val="24"/>
          <w:szCs w:val="24"/>
        </w:rPr>
        <w:t xml:space="preserve"> (за исключением бюджетных средств) в расчёте на 1 жителя </w:t>
      </w:r>
      <w:r w:rsidR="005E3518" w:rsidRPr="0053442B">
        <w:rPr>
          <w:rFonts w:ascii="Times New Roman" w:hAnsi="Times New Roman" w:cs="Times New Roman"/>
          <w:sz w:val="24"/>
          <w:szCs w:val="24"/>
        </w:rPr>
        <w:t>по сравнению с 201</w:t>
      </w:r>
      <w:r w:rsidR="002E0DB3" w:rsidRPr="0053442B">
        <w:rPr>
          <w:rFonts w:ascii="Times New Roman" w:hAnsi="Times New Roman" w:cs="Times New Roman"/>
          <w:sz w:val="24"/>
          <w:szCs w:val="24"/>
        </w:rPr>
        <w:t>4</w:t>
      </w:r>
      <w:r w:rsidR="005E3518" w:rsidRPr="0053442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704CED" w:rsidRPr="0053442B">
        <w:rPr>
          <w:rFonts w:ascii="Times New Roman" w:hAnsi="Times New Roman" w:cs="Times New Roman"/>
          <w:sz w:val="24"/>
          <w:szCs w:val="24"/>
        </w:rPr>
        <w:t>у</w:t>
      </w:r>
      <w:r w:rsidR="002E0DB3" w:rsidRPr="0053442B">
        <w:rPr>
          <w:rFonts w:ascii="Times New Roman" w:hAnsi="Times New Roman" w:cs="Times New Roman"/>
          <w:sz w:val="24"/>
          <w:szCs w:val="24"/>
        </w:rPr>
        <w:t xml:space="preserve">величился </w:t>
      </w:r>
      <w:r w:rsidR="00704CED" w:rsidRPr="0053442B">
        <w:rPr>
          <w:rFonts w:ascii="Times New Roman" w:hAnsi="Times New Roman" w:cs="Times New Roman"/>
          <w:sz w:val="24"/>
          <w:szCs w:val="24"/>
        </w:rPr>
        <w:t xml:space="preserve"> </w:t>
      </w:r>
      <w:r w:rsidR="002E0DB3" w:rsidRPr="0053442B">
        <w:rPr>
          <w:rFonts w:ascii="Times New Roman" w:hAnsi="Times New Roman" w:cs="Times New Roman"/>
          <w:sz w:val="24"/>
          <w:szCs w:val="24"/>
        </w:rPr>
        <w:t xml:space="preserve">в 2,2 раза </w:t>
      </w:r>
      <w:r w:rsidR="00A54521" w:rsidRPr="0053442B">
        <w:rPr>
          <w:rFonts w:ascii="Times New Roman" w:hAnsi="Times New Roman" w:cs="Times New Roman"/>
          <w:sz w:val="24"/>
          <w:szCs w:val="24"/>
        </w:rPr>
        <w:t xml:space="preserve"> </w:t>
      </w:r>
      <w:r w:rsidRPr="0053442B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2E0DB3" w:rsidRPr="0053442B">
        <w:rPr>
          <w:rFonts w:ascii="Times New Roman" w:hAnsi="Times New Roman" w:cs="Times New Roman"/>
          <w:sz w:val="24"/>
          <w:szCs w:val="24"/>
        </w:rPr>
        <w:t>3238,3</w:t>
      </w:r>
      <w:r w:rsidR="00704CED" w:rsidRPr="0053442B">
        <w:rPr>
          <w:rFonts w:ascii="Times New Roman" w:hAnsi="Times New Roman" w:cs="Times New Roman"/>
          <w:sz w:val="24"/>
          <w:szCs w:val="24"/>
        </w:rPr>
        <w:t xml:space="preserve"> </w:t>
      </w:r>
      <w:r w:rsidRPr="0053442B">
        <w:rPr>
          <w:rFonts w:ascii="Times New Roman" w:hAnsi="Times New Roman" w:cs="Times New Roman"/>
          <w:sz w:val="24"/>
          <w:szCs w:val="24"/>
        </w:rPr>
        <w:t>ру</w:t>
      </w:r>
      <w:r w:rsidR="00833065" w:rsidRPr="0053442B">
        <w:rPr>
          <w:rFonts w:ascii="Times New Roman" w:hAnsi="Times New Roman" w:cs="Times New Roman"/>
          <w:sz w:val="24"/>
          <w:szCs w:val="24"/>
        </w:rPr>
        <w:t>б.</w:t>
      </w:r>
      <w:r w:rsidR="00235867" w:rsidRPr="0053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6A" w:rsidRPr="00FE3BBC" w:rsidRDefault="004F1D6A" w:rsidP="004F1D6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3BBC">
        <w:rPr>
          <w:rFonts w:ascii="Times New Roman" w:hAnsi="Times New Roman"/>
          <w:sz w:val="24"/>
          <w:szCs w:val="24"/>
        </w:rPr>
        <w:t xml:space="preserve">Объем работ, выполненных по виду деятельности «строительство», за  2015 год на территории района  составил </w:t>
      </w:r>
      <w:r>
        <w:rPr>
          <w:rFonts w:ascii="Times New Roman" w:hAnsi="Times New Roman"/>
          <w:sz w:val="24"/>
          <w:szCs w:val="24"/>
        </w:rPr>
        <w:t>621,8</w:t>
      </w:r>
      <w:r w:rsidRPr="00FE3BBC">
        <w:rPr>
          <w:rFonts w:ascii="Times New Roman" w:hAnsi="Times New Roman"/>
          <w:sz w:val="24"/>
          <w:szCs w:val="24"/>
        </w:rPr>
        <w:t xml:space="preserve"> млн. руб., </w:t>
      </w:r>
      <w:r>
        <w:rPr>
          <w:rFonts w:ascii="Times New Roman" w:hAnsi="Times New Roman"/>
          <w:sz w:val="24"/>
          <w:szCs w:val="24"/>
        </w:rPr>
        <w:t>или</w:t>
      </w:r>
      <w:r w:rsidRPr="00FE3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103,4</w:t>
      </w:r>
      <w:r w:rsidRPr="00FE3BBC">
        <w:rPr>
          <w:rFonts w:ascii="Times New Roman" w:hAnsi="Times New Roman"/>
          <w:sz w:val="24"/>
          <w:szCs w:val="24"/>
        </w:rPr>
        <w:t>% к соответствующему периоду 2014 года в сопоставимых ценах.</w:t>
      </w:r>
    </w:p>
    <w:p w:rsidR="0053442B" w:rsidRDefault="0053442B" w:rsidP="00534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3BBC">
        <w:rPr>
          <w:rFonts w:ascii="Times New Roman" w:hAnsi="Times New Roman"/>
          <w:sz w:val="24"/>
          <w:szCs w:val="24"/>
        </w:rPr>
        <w:t>Продолжается работа по газификации населённых пунктов. На 1 января 2016 года  газифицировано 13224 абонента</w:t>
      </w:r>
      <w:r>
        <w:rPr>
          <w:rFonts w:ascii="Times New Roman" w:hAnsi="Times New Roman"/>
          <w:sz w:val="24"/>
          <w:szCs w:val="24"/>
        </w:rPr>
        <w:t>, в том числе в 2015 году -1064 абонента, 41 населённый пункт из 75</w:t>
      </w:r>
      <w:r w:rsidRPr="00FE3BBC">
        <w:rPr>
          <w:rFonts w:ascii="Times New Roman" w:hAnsi="Times New Roman"/>
          <w:sz w:val="24"/>
          <w:szCs w:val="24"/>
        </w:rPr>
        <w:t xml:space="preserve">, что составляет 68,1% от общего количества домовладений  района. </w:t>
      </w:r>
    </w:p>
    <w:p w:rsidR="0053442B" w:rsidRDefault="0053442B" w:rsidP="00534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завершено </w:t>
      </w:r>
      <w:r w:rsidRPr="00FE3BBC">
        <w:rPr>
          <w:rFonts w:ascii="Times New Roman" w:hAnsi="Times New Roman"/>
          <w:sz w:val="24"/>
          <w:szCs w:val="24"/>
        </w:rPr>
        <w:t xml:space="preserve"> строительство </w:t>
      </w:r>
      <w:r>
        <w:rPr>
          <w:rFonts w:ascii="Times New Roman" w:hAnsi="Times New Roman"/>
          <w:sz w:val="24"/>
          <w:szCs w:val="24"/>
        </w:rPr>
        <w:t xml:space="preserve">сети газораспределения </w:t>
      </w:r>
      <w:r w:rsidRPr="00FE3BBC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FE3BBC">
        <w:rPr>
          <w:rFonts w:ascii="Times New Roman" w:hAnsi="Times New Roman"/>
          <w:sz w:val="24"/>
          <w:szCs w:val="24"/>
        </w:rPr>
        <w:t>Бараба</w:t>
      </w:r>
      <w:proofErr w:type="spellEnd"/>
      <w:r>
        <w:rPr>
          <w:rFonts w:ascii="Times New Roman" w:hAnsi="Times New Roman"/>
          <w:sz w:val="24"/>
          <w:szCs w:val="24"/>
        </w:rPr>
        <w:t xml:space="preserve"> (10,6 км.)</w:t>
      </w:r>
      <w:r w:rsidRPr="00FE3BBC">
        <w:rPr>
          <w:rFonts w:ascii="Times New Roman" w:hAnsi="Times New Roman"/>
          <w:sz w:val="24"/>
          <w:szCs w:val="24"/>
        </w:rPr>
        <w:t xml:space="preserve"> д. Лаптево</w:t>
      </w:r>
      <w:r>
        <w:rPr>
          <w:rFonts w:ascii="Times New Roman" w:hAnsi="Times New Roman"/>
          <w:sz w:val="24"/>
          <w:szCs w:val="24"/>
        </w:rPr>
        <w:t xml:space="preserve">  (6,5 км.), пос. 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(0,643 км.), пос. </w:t>
      </w:r>
      <w:proofErr w:type="spellStart"/>
      <w:r>
        <w:rPr>
          <w:rFonts w:ascii="Times New Roman" w:hAnsi="Times New Roman"/>
          <w:sz w:val="24"/>
          <w:szCs w:val="24"/>
        </w:rPr>
        <w:t>Чашинский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(5,714 км) в настоящее время идёт подготовка к пуску газа</w:t>
      </w:r>
    </w:p>
    <w:p w:rsidR="0053442B" w:rsidRDefault="0053442B" w:rsidP="00534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E3BBC">
        <w:rPr>
          <w:rFonts w:ascii="Times New Roman" w:hAnsi="Times New Roman"/>
          <w:sz w:val="24"/>
          <w:szCs w:val="24"/>
        </w:rPr>
        <w:t xml:space="preserve"> стадии разработки находится проектно-сметная документация </w:t>
      </w:r>
      <w:r>
        <w:rPr>
          <w:rFonts w:ascii="Times New Roman" w:hAnsi="Times New Roman"/>
          <w:sz w:val="24"/>
          <w:szCs w:val="24"/>
        </w:rPr>
        <w:t xml:space="preserve">на строительство разводящих газовых сетей </w:t>
      </w:r>
      <w:r w:rsidRPr="00FE3BB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E3BBC">
        <w:rPr>
          <w:rFonts w:ascii="Times New Roman" w:hAnsi="Times New Roman"/>
          <w:sz w:val="24"/>
          <w:szCs w:val="24"/>
        </w:rPr>
        <w:t>Темляково</w:t>
      </w:r>
      <w:proofErr w:type="spellEnd"/>
      <w:r w:rsidRPr="00FE3BBC">
        <w:rPr>
          <w:rFonts w:ascii="Times New Roman" w:hAnsi="Times New Roman"/>
          <w:sz w:val="24"/>
          <w:szCs w:val="24"/>
        </w:rPr>
        <w:t xml:space="preserve">, д. Новая </w:t>
      </w:r>
      <w:proofErr w:type="spellStart"/>
      <w:r w:rsidRPr="00FE3BBC">
        <w:rPr>
          <w:rFonts w:ascii="Times New Roman" w:hAnsi="Times New Roman"/>
          <w:sz w:val="24"/>
          <w:szCs w:val="24"/>
        </w:rPr>
        <w:t>Затобольная</w:t>
      </w:r>
      <w:proofErr w:type="spellEnd"/>
      <w:r w:rsidRPr="00FE3BBC">
        <w:rPr>
          <w:rFonts w:ascii="Times New Roman" w:hAnsi="Times New Roman"/>
          <w:sz w:val="24"/>
          <w:szCs w:val="24"/>
        </w:rPr>
        <w:t xml:space="preserve">. </w:t>
      </w:r>
    </w:p>
    <w:p w:rsidR="0053442B" w:rsidRDefault="0053442B" w:rsidP="00534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E3BBC">
        <w:rPr>
          <w:rFonts w:ascii="Times New Roman" w:hAnsi="Times New Roman"/>
          <w:sz w:val="24"/>
          <w:szCs w:val="24"/>
        </w:rPr>
        <w:t xml:space="preserve">олучены технические условия </w:t>
      </w:r>
      <w:r>
        <w:rPr>
          <w:rFonts w:ascii="Times New Roman" w:hAnsi="Times New Roman"/>
          <w:sz w:val="24"/>
          <w:szCs w:val="24"/>
        </w:rPr>
        <w:t>и начато</w:t>
      </w:r>
      <w:r w:rsidRPr="00FE3BBC">
        <w:rPr>
          <w:rFonts w:ascii="Times New Roman" w:hAnsi="Times New Roman"/>
          <w:sz w:val="24"/>
          <w:szCs w:val="24"/>
        </w:rPr>
        <w:t xml:space="preserve"> проектировани</w:t>
      </w:r>
      <w:r>
        <w:rPr>
          <w:rFonts w:ascii="Times New Roman" w:hAnsi="Times New Roman"/>
          <w:sz w:val="24"/>
          <w:szCs w:val="24"/>
        </w:rPr>
        <w:t>е</w:t>
      </w:r>
      <w:r w:rsidRPr="00FE3BBC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а</w:t>
      </w:r>
      <w:r w:rsidRPr="00FE3BBC">
        <w:rPr>
          <w:rFonts w:ascii="Times New Roman" w:hAnsi="Times New Roman"/>
          <w:sz w:val="24"/>
          <w:szCs w:val="24"/>
        </w:rPr>
        <w:t xml:space="preserve"> сетей </w:t>
      </w:r>
      <w:r>
        <w:rPr>
          <w:rFonts w:ascii="Times New Roman" w:hAnsi="Times New Roman"/>
          <w:sz w:val="24"/>
          <w:szCs w:val="24"/>
        </w:rPr>
        <w:t xml:space="preserve">газораспределения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E3BB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E3BBC">
        <w:rPr>
          <w:rFonts w:ascii="Times New Roman" w:hAnsi="Times New Roman"/>
          <w:sz w:val="24"/>
          <w:szCs w:val="24"/>
        </w:rPr>
        <w:t>Пименовка</w:t>
      </w:r>
      <w:proofErr w:type="spellEnd"/>
      <w:r w:rsidRPr="00FE3B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E3BBC">
        <w:rPr>
          <w:rFonts w:ascii="Times New Roman" w:hAnsi="Times New Roman"/>
          <w:sz w:val="24"/>
          <w:szCs w:val="24"/>
        </w:rPr>
        <w:t>с</w:t>
      </w:r>
      <w:proofErr w:type="gramEnd"/>
      <w:r w:rsidRPr="00FE3BBC">
        <w:rPr>
          <w:rFonts w:ascii="Times New Roman" w:hAnsi="Times New Roman"/>
          <w:sz w:val="24"/>
          <w:szCs w:val="24"/>
        </w:rPr>
        <w:t>. Чесноки, с. Сы</w:t>
      </w:r>
      <w:r>
        <w:rPr>
          <w:rFonts w:ascii="Times New Roman" w:hAnsi="Times New Roman"/>
          <w:sz w:val="24"/>
          <w:szCs w:val="24"/>
        </w:rPr>
        <w:t xml:space="preserve">чево, д. </w:t>
      </w:r>
      <w:proofErr w:type="spellStart"/>
      <w:r>
        <w:rPr>
          <w:rFonts w:ascii="Times New Roman" w:hAnsi="Times New Roman"/>
          <w:sz w:val="24"/>
          <w:szCs w:val="24"/>
        </w:rPr>
        <w:t>Логоушка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Логовушка</w:t>
      </w:r>
      <w:proofErr w:type="spellEnd"/>
      <w:r>
        <w:rPr>
          <w:rFonts w:ascii="Times New Roman" w:hAnsi="Times New Roman"/>
          <w:sz w:val="24"/>
          <w:szCs w:val="24"/>
        </w:rPr>
        <w:t>, жителями созданы 2 кооператива которые будут заниматься вопросами газификации.</w:t>
      </w:r>
    </w:p>
    <w:p w:rsidR="0053442B" w:rsidRPr="00FE3BBC" w:rsidRDefault="0053442B" w:rsidP="00534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3BBC">
        <w:rPr>
          <w:rFonts w:ascii="Times New Roman" w:hAnsi="Times New Roman"/>
          <w:sz w:val="24"/>
          <w:szCs w:val="24"/>
        </w:rPr>
        <w:t xml:space="preserve">Продолжается строительство водопровода в с. </w:t>
      </w:r>
      <w:proofErr w:type="spellStart"/>
      <w:r w:rsidRPr="00FE3BBC">
        <w:rPr>
          <w:rFonts w:ascii="Times New Roman" w:hAnsi="Times New Roman"/>
          <w:sz w:val="24"/>
          <w:szCs w:val="24"/>
        </w:rPr>
        <w:t>Кетово</w:t>
      </w:r>
      <w:proofErr w:type="spellEnd"/>
      <w:r w:rsidRPr="00FE3BBC">
        <w:rPr>
          <w:rFonts w:ascii="Times New Roman" w:hAnsi="Times New Roman"/>
          <w:sz w:val="24"/>
          <w:szCs w:val="24"/>
        </w:rPr>
        <w:t xml:space="preserve"> </w:t>
      </w:r>
      <w:r w:rsidRPr="00FE3BBC">
        <w:rPr>
          <w:rFonts w:ascii="Times New Roman" w:hAnsi="Times New Roman"/>
          <w:color w:val="000000"/>
          <w:sz w:val="24"/>
          <w:szCs w:val="24"/>
        </w:rPr>
        <w:t>(общая протяжённость - 40 км., стоимость - 142,6 млн. руб.)</w:t>
      </w:r>
      <w:r>
        <w:rPr>
          <w:rFonts w:ascii="Times New Roman" w:hAnsi="Times New Roman"/>
          <w:color w:val="000000"/>
          <w:sz w:val="24"/>
          <w:szCs w:val="24"/>
        </w:rPr>
        <w:t>, в 2015 году проложено 15 км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рубопровода, освоено  30,7 млн. руб.</w:t>
      </w:r>
    </w:p>
    <w:p w:rsidR="0053442B" w:rsidRPr="00FE3BBC" w:rsidRDefault="0053442B" w:rsidP="00534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BBC">
        <w:rPr>
          <w:rFonts w:ascii="Times New Roman" w:hAnsi="Times New Roman"/>
          <w:sz w:val="24"/>
          <w:szCs w:val="24"/>
        </w:rPr>
        <w:t>В</w:t>
      </w:r>
      <w:proofErr w:type="gramEnd"/>
      <w:r w:rsidRPr="00FE3BB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FE3BBC">
        <w:rPr>
          <w:rFonts w:ascii="Times New Roman" w:hAnsi="Times New Roman"/>
          <w:sz w:val="24"/>
          <w:szCs w:val="24"/>
        </w:rPr>
        <w:t>Кетово</w:t>
      </w:r>
      <w:proofErr w:type="spellEnd"/>
      <w:r w:rsidRPr="00FE3BB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FE3BBC">
        <w:rPr>
          <w:rFonts w:ascii="Times New Roman" w:hAnsi="Times New Roman"/>
          <w:sz w:val="24"/>
          <w:szCs w:val="24"/>
        </w:rPr>
        <w:t xml:space="preserve"> реконструкци</w:t>
      </w:r>
      <w:r>
        <w:rPr>
          <w:rFonts w:ascii="Times New Roman" w:hAnsi="Times New Roman"/>
          <w:sz w:val="24"/>
          <w:szCs w:val="24"/>
        </w:rPr>
        <w:t>и</w:t>
      </w:r>
      <w:r w:rsidRPr="00FE3BBC">
        <w:rPr>
          <w:rFonts w:ascii="Times New Roman" w:hAnsi="Times New Roman"/>
          <w:sz w:val="24"/>
          <w:szCs w:val="24"/>
        </w:rPr>
        <w:t xml:space="preserve"> стадиона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BBC">
        <w:rPr>
          <w:rFonts w:ascii="Times New Roman" w:hAnsi="Times New Roman"/>
          <w:sz w:val="24"/>
          <w:szCs w:val="24"/>
        </w:rPr>
        <w:t xml:space="preserve">освоено 9,8 млн. руб. </w:t>
      </w:r>
    </w:p>
    <w:p w:rsidR="0053442B" w:rsidRPr="00FE3BBC" w:rsidRDefault="0053442B" w:rsidP="00534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3BBC">
        <w:rPr>
          <w:rFonts w:ascii="Times New Roman" w:hAnsi="Times New Roman"/>
          <w:sz w:val="24"/>
          <w:szCs w:val="24"/>
        </w:rPr>
        <w:t xml:space="preserve">Выдано разрешений на строительство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E3BBC">
        <w:rPr>
          <w:rFonts w:ascii="Times New Roman" w:hAnsi="Times New Roman"/>
          <w:sz w:val="24"/>
          <w:szCs w:val="24"/>
        </w:rPr>
        <w:t>538.</w:t>
      </w:r>
    </w:p>
    <w:p w:rsidR="002D2F71" w:rsidRPr="00386CA6" w:rsidRDefault="002D2F71" w:rsidP="006026BE">
      <w:pPr>
        <w:tabs>
          <w:tab w:val="left" w:pos="-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A6">
        <w:rPr>
          <w:rFonts w:ascii="Times New Roman" w:hAnsi="Times New Roman" w:cs="Times New Roman"/>
          <w:sz w:val="24"/>
          <w:szCs w:val="24"/>
        </w:rPr>
        <w:t xml:space="preserve">Введены в действие жилые дома общей площадью  </w:t>
      </w:r>
      <w:r w:rsidR="00DC3AC5" w:rsidRPr="00386CA6">
        <w:rPr>
          <w:rFonts w:ascii="Times New Roman" w:hAnsi="Times New Roman" w:cs="Times New Roman"/>
          <w:sz w:val="24"/>
          <w:szCs w:val="24"/>
        </w:rPr>
        <w:t>48556</w:t>
      </w:r>
      <w:r w:rsidRPr="00386CA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386CA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6CA6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86CA6" w:rsidRPr="00386CA6">
        <w:rPr>
          <w:rFonts w:ascii="Times New Roman" w:hAnsi="Times New Roman" w:cs="Times New Roman"/>
          <w:sz w:val="24"/>
          <w:szCs w:val="24"/>
        </w:rPr>
        <w:t>80</w:t>
      </w:r>
      <w:r w:rsidRPr="00386CA6"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386CA6" w:rsidRPr="00386CA6">
        <w:rPr>
          <w:rFonts w:ascii="Times New Roman" w:hAnsi="Times New Roman" w:cs="Times New Roman"/>
          <w:sz w:val="24"/>
          <w:szCs w:val="24"/>
        </w:rPr>
        <w:t xml:space="preserve">плана (27000 кв.м.) и на 16,5% меньше </w:t>
      </w:r>
      <w:r w:rsidRPr="00386CA6">
        <w:rPr>
          <w:rFonts w:ascii="Times New Roman" w:hAnsi="Times New Roman" w:cs="Times New Roman"/>
          <w:sz w:val="24"/>
          <w:szCs w:val="24"/>
        </w:rPr>
        <w:t>ввода жилья в 201</w:t>
      </w:r>
      <w:r w:rsidR="00386CA6" w:rsidRPr="00386CA6">
        <w:rPr>
          <w:rFonts w:ascii="Times New Roman" w:hAnsi="Times New Roman" w:cs="Times New Roman"/>
          <w:sz w:val="24"/>
          <w:szCs w:val="24"/>
        </w:rPr>
        <w:t>4</w:t>
      </w:r>
      <w:r w:rsidRPr="00386CA6">
        <w:rPr>
          <w:rFonts w:ascii="Times New Roman" w:hAnsi="Times New Roman" w:cs="Times New Roman"/>
          <w:sz w:val="24"/>
          <w:szCs w:val="24"/>
        </w:rPr>
        <w:t xml:space="preserve"> году</w:t>
      </w:r>
      <w:r w:rsidR="00386CA6" w:rsidRPr="00386CA6">
        <w:rPr>
          <w:rFonts w:ascii="Times New Roman" w:hAnsi="Times New Roman" w:cs="Times New Roman"/>
          <w:sz w:val="24"/>
          <w:szCs w:val="24"/>
        </w:rPr>
        <w:t xml:space="preserve"> (58152 кв.м)</w:t>
      </w:r>
      <w:r w:rsidRPr="00386CA6">
        <w:rPr>
          <w:rFonts w:ascii="Times New Roman" w:hAnsi="Times New Roman" w:cs="Times New Roman"/>
          <w:sz w:val="24"/>
          <w:szCs w:val="24"/>
        </w:rPr>
        <w:t>.</w:t>
      </w:r>
    </w:p>
    <w:p w:rsidR="00EE6F6D" w:rsidRPr="000032CB" w:rsidRDefault="00EE6F6D" w:rsidP="00B509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BEC" w:rsidRPr="00EB0194" w:rsidRDefault="00E11BEC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94">
        <w:rPr>
          <w:rFonts w:ascii="Times New Roman" w:hAnsi="Times New Roman" w:cs="Times New Roman"/>
          <w:b/>
          <w:sz w:val="24"/>
          <w:szCs w:val="24"/>
        </w:rPr>
        <w:t>Доля площади земельных участков, являющихся объектами налогообложения земельным налогом,</w:t>
      </w:r>
      <w:r w:rsidRPr="00EB0194">
        <w:rPr>
          <w:rFonts w:ascii="Times New Roman" w:hAnsi="Times New Roman" w:cs="Times New Roman"/>
          <w:sz w:val="24"/>
          <w:szCs w:val="24"/>
        </w:rPr>
        <w:t xml:space="preserve"> в общей площади территории муниципального района в 201</w:t>
      </w:r>
      <w:r w:rsidR="00FB7F77" w:rsidRPr="00EB0194">
        <w:rPr>
          <w:rFonts w:ascii="Times New Roman" w:hAnsi="Times New Roman" w:cs="Times New Roman"/>
          <w:sz w:val="24"/>
          <w:szCs w:val="24"/>
        </w:rPr>
        <w:t>4</w:t>
      </w:r>
      <w:r w:rsidRPr="00EB0194">
        <w:rPr>
          <w:rFonts w:ascii="Times New Roman" w:hAnsi="Times New Roman" w:cs="Times New Roman"/>
          <w:sz w:val="24"/>
          <w:szCs w:val="24"/>
        </w:rPr>
        <w:t xml:space="preserve"> году осталась на уровне 201</w:t>
      </w:r>
      <w:r w:rsidR="00FB7F77" w:rsidRPr="00EB0194">
        <w:rPr>
          <w:rFonts w:ascii="Times New Roman" w:hAnsi="Times New Roman" w:cs="Times New Roman"/>
          <w:sz w:val="24"/>
          <w:szCs w:val="24"/>
        </w:rPr>
        <w:t>3</w:t>
      </w:r>
      <w:r w:rsidRPr="00EB0194">
        <w:rPr>
          <w:rFonts w:ascii="Times New Roman" w:hAnsi="Times New Roman" w:cs="Times New Roman"/>
          <w:sz w:val="24"/>
          <w:szCs w:val="24"/>
        </w:rPr>
        <w:t xml:space="preserve"> года (52,44%).  </w:t>
      </w:r>
    </w:p>
    <w:p w:rsidR="00361F28" w:rsidRPr="000032CB" w:rsidRDefault="00361F28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0B85" w:rsidRPr="00CC0B85" w:rsidRDefault="00C31C2F" w:rsidP="00CC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B85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организаций </w:t>
      </w:r>
      <w:r w:rsidR="00ED1D74" w:rsidRPr="00CC0B85">
        <w:rPr>
          <w:rFonts w:ascii="Times New Roman" w:hAnsi="Times New Roman" w:cs="Times New Roman"/>
          <w:b/>
          <w:sz w:val="24"/>
          <w:szCs w:val="24"/>
        </w:rPr>
        <w:t>в общем их числе</w:t>
      </w:r>
      <w:r w:rsidR="00ED1D74" w:rsidRPr="00CC0B85">
        <w:rPr>
          <w:rFonts w:ascii="Times New Roman" w:hAnsi="Times New Roman" w:cs="Times New Roman"/>
          <w:sz w:val="24"/>
          <w:szCs w:val="24"/>
        </w:rPr>
        <w:t xml:space="preserve"> </w:t>
      </w:r>
      <w:r w:rsidR="00CC0B85" w:rsidRPr="00CC0B85">
        <w:rPr>
          <w:rFonts w:ascii="Times New Roman" w:eastAsia="Times New Roman" w:hAnsi="Times New Roman" w:cs="Times New Roman"/>
          <w:sz w:val="24"/>
          <w:szCs w:val="24"/>
        </w:rPr>
        <w:t xml:space="preserve">в 2015 году увеличилась и составила 63% </w:t>
      </w:r>
      <w:proofErr w:type="gramStart"/>
      <w:r w:rsidR="00CC0B85" w:rsidRPr="00CC0B8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C0B85" w:rsidRPr="00CC0B85">
        <w:rPr>
          <w:rFonts w:ascii="Times New Roman" w:eastAsia="Times New Roman" w:hAnsi="Times New Roman" w:cs="Times New Roman"/>
          <w:sz w:val="24"/>
          <w:szCs w:val="24"/>
        </w:rPr>
        <w:t>2014 год – 43,8%)</w:t>
      </w:r>
    </w:p>
    <w:p w:rsidR="00CC0B85" w:rsidRPr="00CC0B85" w:rsidRDefault="00CC0B85" w:rsidP="00CC0B85">
      <w:pPr>
        <w:pStyle w:val="a3"/>
        <w:spacing w:before="0" w:beforeAutospacing="0" w:after="0" w:afterAutospacing="0"/>
        <w:ind w:firstLine="703"/>
        <w:jc w:val="both"/>
      </w:pPr>
      <w:r w:rsidRPr="00CC0B85">
        <w:rPr>
          <w:color w:val="000000"/>
        </w:rPr>
        <w:t>АПК района  включает 16 сельхозпредприятия различных форм собственности, 77 КФХ, 20160 личных подсобных хозяйств  населения. Площадь сельхозугодий в районе на 01.01.201</w:t>
      </w:r>
      <w:r>
        <w:rPr>
          <w:color w:val="000000"/>
        </w:rPr>
        <w:t>5</w:t>
      </w:r>
      <w:r w:rsidRPr="00CC0B85">
        <w:rPr>
          <w:color w:val="000000"/>
        </w:rPr>
        <w:t xml:space="preserve"> г. составляла 130835 га, в т.ч. пашня - 91142 га., из них 4344 га</w:t>
      </w:r>
      <w:proofErr w:type="gramStart"/>
      <w:r w:rsidRPr="00CC0B85">
        <w:rPr>
          <w:color w:val="000000"/>
        </w:rPr>
        <w:t>.</w:t>
      </w:r>
      <w:proofErr w:type="gramEnd"/>
      <w:r w:rsidRPr="00CC0B85">
        <w:rPr>
          <w:color w:val="000000"/>
        </w:rPr>
        <w:t xml:space="preserve"> </w:t>
      </w:r>
      <w:proofErr w:type="gramStart"/>
      <w:r w:rsidRPr="00CC0B85">
        <w:rPr>
          <w:color w:val="000000"/>
        </w:rPr>
        <w:t>п</w:t>
      </w:r>
      <w:proofErr w:type="gramEnd"/>
      <w:r w:rsidRPr="00CC0B85">
        <w:rPr>
          <w:color w:val="000000"/>
        </w:rPr>
        <w:t xml:space="preserve">ередано в </w:t>
      </w:r>
      <w:r w:rsidRPr="00CC0B85">
        <w:t>пользование г. Кургану, использовалось в районе 86798 га.</w:t>
      </w:r>
    </w:p>
    <w:p w:rsidR="00CC0B85" w:rsidRPr="00CC0B85" w:rsidRDefault="00CC0B85" w:rsidP="00CC0B85">
      <w:pPr>
        <w:pStyle w:val="a3"/>
        <w:spacing w:before="0" w:beforeAutospacing="0" w:after="0" w:afterAutospacing="0"/>
        <w:ind w:firstLine="703"/>
        <w:jc w:val="both"/>
      </w:pPr>
      <w:r>
        <w:rPr>
          <w:sz w:val="28"/>
          <w:szCs w:val="28"/>
        </w:rPr>
        <w:t xml:space="preserve"> </w:t>
      </w:r>
      <w:r w:rsidRPr="00CC0B85">
        <w:t>В 2015 году посевная площадь составила 67325 га., яровой сев - 60444 га.,  в том числе зерновых и зернобобовых - 50593 га., картофеля -  3027 га., овощей - 1584 га., масличных культур  - 4070 га., в т.ч. : рапса – 2492 га,  подсолнечника –548 га., кормовых культур ( включая многолетние травы) – 8032 га</w:t>
      </w:r>
      <w:proofErr w:type="gramStart"/>
      <w:r w:rsidRPr="00CC0B85">
        <w:t xml:space="preserve"> .</w:t>
      </w:r>
      <w:proofErr w:type="gramEnd"/>
      <w:r w:rsidRPr="00CC0B85">
        <w:t xml:space="preserve">  Обработано 42547 га  гербицидами. Площадь чистого пара – 16488 га.  </w:t>
      </w:r>
    </w:p>
    <w:p w:rsidR="00CC0B85" w:rsidRPr="00A40365" w:rsidRDefault="00CC0B85" w:rsidP="00A40365">
      <w:pPr>
        <w:pStyle w:val="a3"/>
        <w:spacing w:before="0" w:beforeAutospacing="0" w:after="0" w:afterAutospacing="0"/>
        <w:ind w:firstLine="703"/>
        <w:jc w:val="both"/>
      </w:pPr>
      <w:r w:rsidRPr="00A40365">
        <w:t xml:space="preserve">Валовой сбор зерна составил 107520 тонн </w:t>
      </w:r>
      <w:r w:rsidR="00A40365" w:rsidRPr="00A40365">
        <w:t>(</w:t>
      </w:r>
      <w:r w:rsidRPr="00A40365">
        <w:t>138,4 %  к 2014 году</w:t>
      </w:r>
      <w:proofErr w:type="gramStart"/>
      <w:r w:rsidRPr="00A40365">
        <w:t xml:space="preserve"> )</w:t>
      </w:r>
      <w:proofErr w:type="gramEnd"/>
      <w:r w:rsidRPr="00A40365">
        <w:t>, данный показатель достигнут   второй раз за всю историю района,</w:t>
      </w:r>
    </w:p>
    <w:p w:rsidR="00CC0B85" w:rsidRPr="00A40365" w:rsidRDefault="00CC0B85" w:rsidP="00A40365">
      <w:pPr>
        <w:pStyle w:val="a3"/>
        <w:spacing w:before="0" w:beforeAutospacing="0" w:after="0" w:afterAutospacing="0"/>
        <w:jc w:val="both"/>
      </w:pPr>
      <w:r w:rsidRPr="00A40365">
        <w:t xml:space="preserve">урожайность  составила 21,2  </w:t>
      </w:r>
      <w:proofErr w:type="spellStart"/>
      <w:r w:rsidRPr="00A40365">
        <w:t>ц</w:t>
      </w:r>
      <w:proofErr w:type="spellEnd"/>
      <w:r w:rsidRPr="00A40365">
        <w:t xml:space="preserve">/га, что на 4,3 </w:t>
      </w:r>
      <w:proofErr w:type="spellStart"/>
      <w:r w:rsidRPr="00A40365">
        <w:t>ц</w:t>
      </w:r>
      <w:proofErr w:type="spellEnd"/>
      <w:r w:rsidRPr="00A40365">
        <w:t xml:space="preserve">/га  больше чем в 2014 году.  Получено 59769 т. картофеля (117,8 % к 2014 году), при урожайности 197,4 </w:t>
      </w:r>
      <w:proofErr w:type="spellStart"/>
      <w:r w:rsidRPr="00A40365">
        <w:t>ц</w:t>
      </w:r>
      <w:proofErr w:type="spellEnd"/>
      <w:r w:rsidRPr="00A40365">
        <w:t xml:space="preserve">/га., овощей 50769 т </w:t>
      </w:r>
      <w:proofErr w:type="gramStart"/>
      <w:r w:rsidRPr="00A40365">
        <w:t xml:space="preserve">( </w:t>
      </w:r>
      <w:proofErr w:type="gramEnd"/>
      <w:r w:rsidRPr="00A40365">
        <w:t xml:space="preserve">117,8 % к 2014 году), при урожайности – 320,5 </w:t>
      </w:r>
      <w:proofErr w:type="spellStart"/>
      <w:r w:rsidRPr="00A40365">
        <w:t>ц</w:t>
      </w:r>
      <w:proofErr w:type="spellEnd"/>
      <w:r w:rsidRPr="00A40365">
        <w:t>/га.</w:t>
      </w:r>
    </w:p>
    <w:p w:rsidR="00CC0B85" w:rsidRPr="002157CA" w:rsidRDefault="00CC0B85" w:rsidP="00215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57CA">
        <w:rPr>
          <w:rFonts w:ascii="Times New Roman" w:hAnsi="Times New Roman" w:cs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</w:t>
      </w:r>
      <w:proofErr w:type="spellStart"/>
      <w:r w:rsidRPr="002157CA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2157CA">
        <w:rPr>
          <w:rFonts w:ascii="Times New Roman" w:hAnsi="Times New Roman" w:cs="Times New Roman"/>
          <w:sz w:val="24"/>
          <w:szCs w:val="24"/>
        </w:rPr>
        <w:t>», племенное хозяйство СПК «</w:t>
      </w:r>
      <w:proofErr w:type="spellStart"/>
      <w:r w:rsidRPr="002157CA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2157CA">
        <w:rPr>
          <w:rFonts w:ascii="Times New Roman" w:hAnsi="Times New Roman" w:cs="Times New Roman"/>
          <w:sz w:val="24"/>
          <w:szCs w:val="24"/>
        </w:rPr>
        <w:t xml:space="preserve"> «Разлив», товарное  молочное  предприятие   СПК «Юбилейный»  и 2 свиноводческих комплекса</w:t>
      </w:r>
      <w:r w:rsidR="002157CA" w:rsidRPr="002157CA">
        <w:rPr>
          <w:rFonts w:ascii="Times New Roman" w:hAnsi="Times New Roman" w:cs="Times New Roman"/>
          <w:sz w:val="24"/>
          <w:szCs w:val="24"/>
        </w:rPr>
        <w:t xml:space="preserve"> </w:t>
      </w:r>
      <w:r w:rsidRPr="002157CA">
        <w:rPr>
          <w:rFonts w:ascii="Times New Roman" w:hAnsi="Times New Roman" w:cs="Times New Roman"/>
          <w:sz w:val="24"/>
          <w:szCs w:val="24"/>
        </w:rPr>
        <w:t xml:space="preserve"> </w:t>
      </w:r>
      <w:r w:rsidR="002157CA" w:rsidRPr="002157CA">
        <w:rPr>
          <w:rFonts w:ascii="Times New Roman" w:hAnsi="Times New Roman" w:cs="Times New Roman"/>
          <w:sz w:val="24"/>
          <w:szCs w:val="24"/>
        </w:rPr>
        <w:t>-</w:t>
      </w:r>
      <w:r w:rsidRPr="002157CA">
        <w:rPr>
          <w:rFonts w:ascii="Times New Roman" w:hAnsi="Times New Roman" w:cs="Times New Roman"/>
          <w:sz w:val="24"/>
          <w:szCs w:val="24"/>
        </w:rPr>
        <w:t xml:space="preserve"> ООО «Курганское» </w:t>
      </w:r>
      <w:proofErr w:type="gramStart"/>
      <w:r w:rsidRPr="002157CA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2157CA">
        <w:rPr>
          <w:rFonts w:ascii="Times New Roman" w:hAnsi="Times New Roman" w:cs="Times New Roman"/>
          <w:sz w:val="24"/>
          <w:szCs w:val="24"/>
        </w:rPr>
        <w:t xml:space="preserve"> «Курганский свиноводческий комплекс».</w:t>
      </w:r>
    </w:p>
    <w:p w:rsidR="00CC0B85" w:rsidRPr="001B1340" w:rsidRDefault="00CC0B85" w:rsidP="001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40">
        <w:rPr>
          <w:rFonts w:ascii="Times New Roman" w:hAnsi="Times New Roman" w:cs="Times New Roman"/>
          <w:sz w:val="24"/>
          <w:szCs w:val="24"/>
        </w:rPr>
        <w:lastRenderedPageBreak/>
        <w:t xml:space="preserve">          Поголовье скота на 1 января 2016 года по району составляет:  </w:t>
      </w:r>
      <w:proofErr w:type="gramStart"/>
      <w:r w:rsidRPr="001B1340">
        <w:rPr>
          <w:rFonts w:ascii="Times New Roman" w:hAnsi="Times New Roman" w:cs="Times New Roman"/>
          <w:sz w:val="24"/>
          <w:szCs w:val="24"/>
        </w:rPr>
        <w:t xml:space="preserve">КРС – 4512 гол., в т.ч. коров - 2174 гол.; свиней - 17842 гол., овец и коз - 6174 гол., лошадей -506 гол., птицы – 866,7 тыс. голов.   </w:t>
      </w:r>
      <w:proofErr w:type="gramEnd"/>
    </w:p>
    <w:p w:rsidR="00CC0B85" w:rsidRPr="005941CA" w:rsidRDefault="00CC0B85" w:rsidP="005941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CA">
        <w:rPr>
          <w:rFonts w:ascii="Times New Roman" w:hAnsi="Times New Roman" w:cs="Times New Roman"/>
          <w:sz w:val="24"/>
          <w:szCs w:val="24"/>
        </w:rPr>
        <w:t>В 2015 году  получено  молока  9812 т, реализовано мяса скота и птицы – 16248 т. в живом весе (108 % к 2014 году)</w:t>
      </w:r>
      <w:r w:rsidRPr="005941CA">
        <w:rPr>
          <w:rFonts w:ascii="Times New Roman" w:hAnsi="Times New Roman" w:cs="Times New Roman"/>
          <w:color w:val="000000"/>
          <w:sz w:val="24"/>
          <w:szCs w:val="24"/>
        </w:rPr>
        <w:t xml:space="preserve">  В сельскохозяйственных организациях с начала года в среднем в расчете на одну корову молочного стада надоено 5027   килограмм молока (+512 кг. к уровню 2014 года), средняя яйценоскость курицы-несушки составила  240  штук</w:t>
      </w:r>
      <w:proofErr w:type="gramStart"/>
      <w:r w:rsidRPr="005941C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C0B85" w:rsidRPr="007B72B5" w:rsidRDefault="00CC0B85" w:rsidP="007B7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2B5">
        <w:rPr>
          <w:rFonts w:ascii="Times New Roman" w:hAnsi="Times New Roman" w:cs="Times New Roman"/>
          <w:sz w:val="24"/>
          <w:szCs w:val="24"/>
        </w:rPr>
        <w:t>Переработкой  сельхозпродукции занимаются  26 сельхозпредприятия, в которых 32 цеха: 1 цех по переработке молока, 13 цехов по переработке мяса, 7 пекарен, 4 мельницы, производятся мясные полуфабрикаты, копчености, молочные продукты</w:t>
      </w:r>
      <w:r w:rsidR="007B72B5" w:rsidRPr="007B72B5">
        <w:rPr>
          <w:rFonts w:ascii="Times New Roman" w:hAnsi="Times New Roman" w:cs="Times New Roman"/>
          <w:sz w:val="24"/>
          <w:szCs w:val="24"/>
        </w:rPr>
        <w:t xml:space="preserve">, </w:t>
      </w:r>
      <w:r w:rsidRPr="007B72B5">
        <w:rPr>
          <w:rFonts w:ascii="Times New Roman" w:hAnsi="Times New Roman" w:cs="Times New Roman"/>
          <w:sz w:val="24"/>
          <w:szCs w:val="24"/>
        </w:rPr>
        <w:t xml:space="preserve"> подсолнечное масло, макароны, крупы, грибы, рыба, овощные консервы.</w:t>
      </w:r>
      <w:proofErr w:type="gramEnd"/>
      <w:r w:rsidRPr="007B72B5">
        <w:rPr>
          <w:rFonts w:ascii="Times New Roman" w:hAnsi="Times New Roman" w:cs="Times New Roman"/>
          <w:sz w:val="24"/>
          <w:szCs w:val="24"/>
        </w:rPr>
        <w:t xml:space="preserve"> Объем переработки составил за 2015 год  29960 тонн, на сумму 1373 млн. руб.(107 % к 2014 году.)</w:t>
      </w:r>
    </w:p>
    <w:p w:rsidR="00CC0B85" w:rsidRPr="00FE41B4" w:rsidRDefault="00CC0B85" w:rsidP="00F636CC">
      <w:pPr>
        <w:pStyle w:val="a3"/>
        <w:spacing w:before="0" w:beforeAutospacing="0" w:after="0" w:afterAutospacing="0"/>
        <w:ind w:firstLine="703"/>
        <w:jc w:val="both"/>
        <w:rPr>
          <w:color w:val="FF0000"/>
        </w:rPr>
      </w:pPr>
      <w:r w:rsidRPr="00FE41B4">
        <w:t>Хозяйствами района ежегодно обновляется машинно-тракторный парк, в   2015 году приобретено  современной техники  на сумму  31,8 млн. руб</w:t>
      </w:r>
      <w:r w:rsidRPr="00FE41B4">
        <w:rPr>
          <w:color w:val="FF0000"/>
        </w:rPr>
        <w:t xml:space="preserve">. </w:t>
      </w:r>
    </w:p>
    <w:p w:rsidR="00CC0B85" w:rsidRPr="00FE41B4" w:rsidRDefault="00CC0B85" w:rsidP="00F6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1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1B4">
        <w:rPr>
          <w:rFonts w:ascii="Times New Roman" w:eastAsia="Times New Roman" w:hAnsi="Times New Roman" w:cs="Times New Roman"/>
          <w:sz w:val="24"/>
          <w:szCs w:val="24"/>
        </w:rPr>
        <w:t>За  2015 год личными подсобными хозяйствами граждан и КФХ получено 3 кредита на сумму 6,99 млн.</w:t>
      </w:r>
      <w:r w:rsidRPr="00FE41B4">
        <w:rPr>
          <w:rFonts w:ascii="Times New Roman" w:hAnsi="Times New Roman" w:cs="Times New Roman"/>
          <w:sz w:val="24"/>
          <w:szCs w:val="24"/>
        </w:rPr>
        <w:t xml:space="preserve"> </w:t>
      </w:r>
      <w:r w:rsidRPr="00FE41B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FE41B4">
        <w:rPr>
          <w:rFonts w:ascii="Times New Roman" w:hAnsi="Times New Roman" w:cs="Times New Roman"/>
          <w:sz w:val="24"/>
          <w:szCs w:val="24"/>
        </w:rPr>
        <w:t>.</w:t>
      </w:r>
      <w:r w:rsidRPr="00FE41B4">
        <w:rPr>
          <w:rFonts w:ascii="Times New Roman" w:eastAsia="Times New Roman" w:hAnsi="Times New Roman" w:cs="Times New Roman"/>
          <w:sz w:val="24"/>
          <w:szCs w:val="24"/>
        </w:rPr>
        <w:t>, так же получен грант по программе «Начинающий фермер».</w:t>
      </w:r>
    </w:p>
    <w:p w:rsidR="00CC0B85" w:rsidRPr="00F636CC" w:rsidRDefault="00CC0B85" w:rsidP="00F636CC">
      <w:pPr>
        <w:pStyle w:val="a5"/>
        <w:ind w:right="0" w:firstLine="709"/>
        <w:outlineLvl w:val="0"/>
        <w:rPr>
          <w:sz w:val="24"/>
          <w:szCs w:val="24"/>
          <w:lang w:val="ru-RU"/>
        </w:rPr>
      </w:pPr>
      <w:r w:rsidRPr="00F636CC">
        <w:rPr>
          <w:sz w:val="24"/>
          <w:szCs w:val="24"/>
          <w:lang w:val="ru-RU"/>
        </w:rPr>
        <w:t xml:space="preserve">Район участвует в реализации программы «Устойчивое развитие сельских территорий </w:t>
      </w:r>
      <w:proofErr w:type="spellStart"/>
      <w:r w:rsidRPr="00F636CC">
        <w:rPr>
          <w:sz w:val="24"/>
          <w:szCs w:val="24"/>
          <w:lang w:val="ru-RU"/>
        </w:rPr>
        <w:t>Кетовского</w:t>
      </w:r>
      <w:proofErr w:type="spellEnd"/>
      <w:r w:rsidRPr="00F636CC">
        <w:rPr>
          <w:sz w:val="24"/>
          <w:szCs w:val="24"/>
          <w:lang w:val="ru-RU"/>
        </w:rPr>
        <w:t xml:space="preserve"> района на 2014-2017 годы и на период до 2020 года» по обеспечению доступным жильем граждан, молодых семей и молодых специалистов на селе. В программе  2015 года участвуют  12 семей, сумма финансирования из всех видов источников </w:t>
      </w:r>
      <w:r w:rsidR="00361A86" w:rsidRPr="00F636CC">
        <w:rPr>
          <w:sz w:val="24"/>
          <w:szCs w:val="24"/>
          <w:lang w:val="ru-RU"/>
        </w:rPr>
        <w:t>-</w:t>
      </w:r>
      <w:r w:rsidRPr="00F636CC">
        <w:rPr>
          <w:sz w:val="24"/>
          <w:szCs w:val="24"/>
          <w:lang w:val="ru-RU"/>
        </w:rPr>
        <w:t xml:space="preserve"> 22,5  млн. руб. Общий ввод жилья в 2015 году составил 1579,3 кв.м. </w:t>
      </w:r>
      <w:r w:rsidRPr="00F636CC">
        <w:rPr>
          <w:color w:val="000000"/>
          <w:sz w:val="24"/>
          <w:szCs w:val="24"/>
          <w:lang w:val="ru-RU"/>
        </w:rPr>
        <w:t xml:space="preserve">В рамках данной программы осуществляется комплексное  обустройство площадок под компактную жилищную застройку  </w:t>
      </w:r>
      <w:proofErr w:type="gramStart"/>
      <w:r w:rsidRPr="00F636CC">
        <w:rPr>
          <w:color w:val="000000"/>
          <w:sz w:val="24"/>
          <w:szCs w:val="24"/>
          <w:lang w:val="ru-RU"/>
        </w:rPr>
        <w:t>в</w:t>
      </w:r>
      <w:proofErr w:type="gramEnd"/>
      <w:r w:rsidRPr="00F636CC">
        <w:rPr>
          <w:color w:val="000000"/>
          <w:sz w:val="24"/>
          <w:szCs w:val="24"/>
          <w:lang w:val="ru-RU"/>
        </w:rPr>
        <w:t xml:space="preserve">  с. </w:t>
      </w:r>
      <w:proofErr w:type="spellStart"/>
      <w:r w:rsidRPr="00F636CC">
        <w:rPr>
          <w:color w:val="000000"/>
          <w:sz w:val="24"/>
          <w:szCs w:val="24"/>
          <w:lang w:val="ru-RU"/>
        </w:rPr>
        <w:t>Пименовка</w:t>
      </w:r>
      <w:proofErr w:type="spellEnd"/>
      <w:r w:rsidRPr="00F636CC">
        <w:rPr>
          <w:color w:val="000000"/>
          <w:sz w:val="24"/>
          <w:szCs w:val="24"/>
          <w:lang w:val="ru-RU"/>
        </w:rPr>
        <w:t>. П</w:t>
      </w:r>
      <w:r w:rsidRPr="00F636CC">
        <w:rPr>
          <w:sz w:val="24"/>
          <w:szCs w:val="24"/>
          <w:lang w:val="ru-RU"/>
        </w:rPr>
        <w:t xml:space="preserve">родолжается строительство </w:t>
      </w:r>
      <w:proofErr w:type="spellStart"/>
      <w:r w:rsidRPr="00F636CC">
        <w:rPr>
          <w:sz w:val="24"/>
          <w:szCs w:val="24"/>
          <w:lang w:val="ru-RU"/>
        </w:rPr>
        <w:t>ФАПа</w:t>
      </w:r>
      <w:proofErr w:type="spellEnd"/>
      <w:r w:rsidRPr="00F636CC">
        <w:rPr>
          <w:sz w:val="24"/>
          <w:szCs w:val="24"/>
          <w:lang w:val="ru-RU"/>
        </w:rPr>
        <w:t xml:space="preserve">,  </w:t>
      </w:r>
      <w:proofErr w:type="spellStart"/>
      <w:r w:rsidRPr="00F636CC">
        <w:rPr>
          <w:sz w:val="24"/>
          <w:szCs w:val="24"/>
          <w:lang w:val="ru-RU"/>
        </w:rPr>
        <w:t>ФОЦа</w:t>
      </w:r>
      <w:proofErr w:type="spellEnd"/>
      <w:r w:rsidRPr="00F636CC">
        <w:rPr>
          <w:sz w:val="24"/>
          <w:szCs w:val="24"/>
          <w:lang w:val="ru-RU"/>
        </w:rPr>
        <w:t>, стадиона, детского сада. В</w:t>
      </w:r>
      <w:r w:rsidR="00361A86" w:rsidRPr="00F636CC">
        <w:rPr>
          <w:sz w:val="24"/>
          <w:szCs w:val="24"/>
          <w:lang w:val="ru-RU"/>
        </w:rPr>
        <w:t>елось</w:t>
      </w:r>
      <w:r w:rsidRPr="00F636CC">
        <w:rPr>
          <w:sz w:val="24"/>
          <w:szCs w:val="24"/>
          <w:lang w:val="ru-RU"/>
        </w:rPr>
        <w:t xml:space="preserve"> строительство 20 жилых домов</w:t>
      </w:r>
      <w:r w:rsidR="00F636CC" w:rsidRPr="00F636CC">
        <w:rPr>
          <w:sz w:val="24"/>
          <w:szCs w:val="24"/>
          <w:lang w:val="ru-RU"/>
        </w:rPr>
        <w:t xml:space="preserve">, 14 – </w:t>
      </w:r>
      <w:proofErr w:type="gramStart"/>
      <w:r w:rsidR="00F636CC" w:rsidRPr="00F636CC">
        <w:rPr>
          <w:sz w:val="24"/>
          <w:szCs w:val="24"/>
          <w:lang w:val="ru-RU"/>
        </w:rPr>
        <w:t>введены</w:t>
      </w:r>
      <w:proofErr w:type="gramEnd"/>
      <w:r w:rsidR="00F636CC" w:rsidRPr="00F636CC">
        <w:rPr>
          <w:sz w:val="24"/>
          <w:szCs w:val="24"/>
          <w:lang w:val="ru-RU"/>
        </w:rPr>
        <w:t xml:space="preserve"> в эксплуатацию в 2015 году</w:t>
      </w:r>
      <w:r w:rsidRPr="00F636CC">
        <w:rPr>
          <w:sz w:val="24"/>
          <w:szCs w:val="24"/>
          <w:lang w:val="ru-RU"/>
        </w:rPr>
        <w:t xml:space="preserve">. </w:t>
      </w:r>
    </w:p>
    <w:p w:rsidR="00CC0B85" w:rsidRPr="004E4201" w:rsidRDefault="00CC0B85" w:rsidP="004E4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201">
        <w:rPr>
          <w:rFonts w:ascii="Times New Roman" w:hAnsi="Times New Roman" w:cs="Times New Roman"/>
          <w:sz w:val="24"/>
          <w:szCs w:val="24"/>
        </w:rPr>
        <w:t xml:space="preserve">Общий объём инвестиций в развитие АПК в 2015 году составил 364,6 </w:t>
      </w:r>
      <w:proofErr w:type="spellStart"/>
      <w:r w:rsidRPr="004E420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E42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420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E4201">
        <w:rPr>
          <w:rFonts w:ascii="Times New Roman" w:hAnsi="Times New Roman" w:cs="Times New Roman"/>
          <w:sz w:val="24"/>
          <w:szCs w:val="24"/>
        </w:rPr>
        <w:t xml:space="preserve"> , в т.ч. 91,8 на развитие с/</w:t>
      </w:r>
      <w:proofErr w:type="spellStart"/>
      <w:r w:rsidRPr="004E42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4201">
        <w:rPr>
          <w:rFonts w:ascii="Times New Roman" w:hAnsi="Times New Roman" w:cs="Times New Roman"/>
          <w:sz w:val="24"/>
          <w:szCs w:val="24"/>
        </w:rPr>
        <w:t xml:space="preserve"> производства и 272,8 на модернизацию перерабатывающих производств. </w:t>
      </w:r>
    </w:p>
    <w:p w:rsidR="00BF352B" w:rsidRPr="000032CB" w:rsidRDefault="00BF352B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739" w:rsidRDefault="00383739" w:rsidP="003837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29A">
        <w:rPr>
          <w:rFonts w:ascii="Times New Roman" w:hAnsi="Times New Roman" w:cs="Times New Roman"/>
          <w:b/>
          <w:noProof/>
          <w:sz w:val="24"/>
          <w:szCs w:val="24"/>
        </w:rPr>
        <w:t>Доля автомобильных дорог общего пользования местного значения не отвечающих  нормативным требованиям</w:t>
      </w:r>
      <w:r w:rsidRPr="0025629A">
        <w:rPr>
          <w:rFonts w:ascii="Times New Roman" w:hAnsi="Times New Roman" w:cs="Times New Roman"/>
          <w:noProof/>
          <w:sz w:val="24"/>
          <w:szCs w:val="24"/>
        </w:rPr>
        <w:t xml:space="preserve"> уменьшилась с 26,2% до 17,9%.</w:t>
      </w:r>
      <w:r w:rsidRPr="000032CB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25629A">
        <w:rPr>
          <w:rFonts w:ascii="Times New Roman" w:hAnsi="Times New Roman" w:cs="Times New Roman"/>
          <w:noProof/>
          <w:sz w:val="24"/>
          <w:szCs w:val="24"/>
        </w:rPr>
        <w:t>Администрацией района принимались меры направленные на улучшение состояния автомобильных дорог. В 2015 году  отремонтировано 29,8 км. автомобильных дорог, общий объём финансирования за счёт всех источников составил 48</w:t>
      </w:r>
      <w:r>
        <w:rPr>
          <w:rFonts w:ascii="Times New Roman" w:hAnsi="Times New Roman" w:cs="Times New Roman"/>
          <w:noProof/>
          <w:sz w:val="24"/>
          <w:szCs w:val="24"/>
        </w:rPr>
        <w:t>,0</w:t>
      </w:r>
      <w:r w:rsidRPr="0025629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млн</w:t>
      </w:r>
      <w:r w:rsidRPr="0025629A">
        <w:rPr>
          <w:rFonts w:ascii="Times New Roman" w:hAnsi="Times New Roman" w:cs="Times New Roman"/>
          <w:noProof/>
          <w:sz w:val="24"/>
          <w:szCs w:val="24"/>
        </w:rPr>
        <w:t>. руб.</w:t>
      </w:r>
    </w:p>
    <w:p w:rsidR="00383739" w:rsidRDefault="00383739" w:rsidP="003837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Отремонтирован мост в д.Галишово (Менщиковский сельсовет), сумма затрат составила – 7,8 млн.руб.</w:t>
      </w:r>
      <w:r w:rsidRPr="0025629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13415" w:rsidRPr="0025629A" w:rsidRDefault="00C13415" w:rsidP="003837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910FE" w:rsidRPr="00965243" w:rsidRDefault="007910FE" w:rsidP="00B50993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43">
        <w:rPr>
          <w:rFonts w:ascii="Times New Roman" w:hAnsi="Times New Roman" w:cs="Times New Roman"/>
          <w:b/>
          <w:sz w:val="24"/>
          <w:szCs w:val="24"/>
        </w:rPr>
        <w:t>Среднемесячная номинальная  начисленная заработная плата работников:</w:t>
      </w:r>
    </w:p>
    <w:p w:rsidR="007910FE" w:rsidRPr="00965243" w:rsidRDefault="007910FE" w:rsidP="00B50993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243">
        <w:rPr>
          <w:rFonts w:ascii="Times New Roman" w:hAnsi="Times New Roman" w:cs="Times New Roman"/>
          <w:sz w:val="24"/>
          <w:szCs w:val="24"/>
        </w:rPr>
        <w:t xml:space="preserve">- </w:t>
      </w:r>
      <w:r w:rsidR="00784679" w:rsidRPr="00965243">
        <w:rPr>
          <w:rFonts w:ascii="Times New Roman" w:hAnsi="Times New Roman" w:cs="Times New Roman"/>
          <w:sz w:val="24"/>
          <w:szCs w:val="24"/>
        </w:rPr>
        <w:t xml:space="preserve">на </w:t>
      </w:r>
      <w:r w:rsidRPr="00965243">
        <w:rPr>
          <w:rFonts w:ascii="Times New Roman" w:hAnsi="Times New Roman" w:cs="Times New Roman"/>
          <w:sz w:val="24"/>
          <w:szCs w:val="24"/>
        </w:rPr>
        <w:t>крупных и средних предприятиях района в 201</w:t>
      </w:r>
      <w:r w:rsidR="00E731C0" w:rsidRPr="00965243">
        <w:rPr>
          <w:rFonts w:ascii="Times New Roman" w:hAnsi="Times New Roman" w:cs="Times New Roman"/>
          <w:sz w:val="24"/>
          <w:szCs w:val="24"/>
        </w:rPr>
        <w:t>5</w:t>
      </w:r>
      <w:r w:rsidR="005E3586" w:rsidRPr="00965243">
        <w:rPr>
          <w:rFonts w:ascii="Times New Roman" w:hAnsi="Times New Roman" w:cs="Times New Roman"/>
          <w:sz w:val="24"/>
          <w:szCs w:val="24"/>
        </w:rPr>
        <w:t xml:space="preserve"> </w:t>
      </w:r>
      <w:r w:rsidRPr="00965243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E731C0" w:rsidRPr="00965243">
        <w:rPr>
          <w:rFonts w:ascii="Times New Roman" w:hAnsi="Times New Roman" w:cs="Times New Roman"/>
          <w:sz w:val="24"/>
          <w:szCs w:val="24"/>
        </w:rPr>
        <w:t>20462,3</w:t>
      </w:r>
      <w:r w:rsidRPr="00965243">
        <w:rPr>
          <w:rFonts w:ascii="Times New Roman" w:hAnsi="Times New Roman" w:cs="Times New Roman"/>
          <w:sz w:val="24"/>
          <w:szCs w:val="24"/>
        </w:rPr>
        <w:t xml:space="preserve"> руб., и увеличилась по сравнению с прошлым годом на </w:t>
      </w:r>
      <w:r w:rsidR="00E731C0" w:rsidRPr="00965243">
        <w:rPr>
          <w:rFonts w:ascii="Times New Roman" w:hAnsi="Times New Roman" w:cs="Times New Roman"/>
          <w:b/>
          <w:sz w:val="24"/>
          <w:szCs w:val="24"/>
        </w:rPr>
        <w:t>3,8</w:t>
      </w:r>
      <w:r w:rsidRPr="00965243">
        <w:rPr>
          <w:rFonts w:ascii="Times New Roman" w:hAnsi="Times New Roman" w:cs="Times New Roman"/>
          <w:sz w:val="24"/>
          <w:szCs w:val="24"/>
        </w:rPr>
        <w:t>%;</w:t>
      </w:r>
    </w:p>
    <w:p w:rsidR="00CF6671" w:rsidRPr="00965243" w:rsidRDefault="00CF6671" w:rsidP="00B50993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243" w:rsidRPr="00965243" w:rsidRDefault="007910FE" w:rsidP="00044665">
      <w:pPr>
        <w:spacing w:after="0" w:line="240" w:lineRule="auto"/>
        <w:ind w:firstLine="709"/>
        <w:jc w:val="both"/>
      </w:pPr>
      <w:r w:rsidRPr="00965243">
        <w:rPr>
          <w:rFonts w:ascii="Times New Roman" w:hAnsi="Times New Roman"/>
          <w:sz w:val="24"/>
          <w:szCs w:val="24"/>
        </w:rPr>
        <w:t>-</w:t>
      </w:r>
      <w:r w:rsidR="00CF6671" w:rsidRPr="00965243">
        <w:rPr>
          <w:rFonts w:ascii="Times New Roman" w:hAnsi="Times New Roman"/>
          <w:sz w:val="24"/>
          <w:szCs w:val="24"/>
        </w:rPr>
        <w:t xml:space="preserve">в </w:t>
      </w:r>
      <w:r w:rsidRPr="00965243">
        <w:rPr>
          <w:rFonts w:ascii="Times New Roman" w:hAnsi="Times New Roman"/>
          <w:sz w:val="24"/>
          <w:szCs w:val="24"/>
        </w:rPr>
        <w:t xml:space="preserve">муниципальных дошкольных </w:t>
      </w:r>
      <w:r w:rsidR="008C06C2" w:rsidRPr="0096524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965243">
        <w:rPr>
          <w:rFonts w:ascii="Times New Roman" w:hAnsi="Times New Roman"/>
          <w:sz w:val="24"/>
          <w:szCs w:val="24"/>
        </w:rPr>
        <w:t>учрежде</w:t>
      </w:r>
      <w:r w:rsidR="00CF6671" w:rsidRPr="00965243">
        <w:rPr>
          <w:rFonts w:ascii="Times New Roman" w:hAnsi="Times New Roman"/>
          <w:sz w:val="24"/>
          <w:szCs w:val="24"/>
        </w:rPr>
        <w:t>ниях</w:t>
      </w:r>
      <w:r w:rsidRPr="00965243">
        <w:rPr>
          <w:rFonts w:ascii="Times New Roman" w:hAnsi="Times New Roman"/>
          <w:sz w:val="24"/>
          <w:szCs w:val="24"/>
        </w:rPr>
        <w:t xml:space="preserve"> составила </w:t>
      </w:r>
      <w:r w:rsidR="0032643F" w:rsidRPr="00965243">
        <w:rPr>
          <w:rFonts w:ascii="Times New Roman" w:hAnsi="Times New Roman"/>
          <w:sz w:val="24"/>
          <w:szCs w:val="24"/>
        </w:rPr>
        <w:t>15284,7</w:t>
      </w:r>
      <w:r w:rsidRPr="00965243">
        <w:rPr>
          <w:rFonts w:ascii="Times New Roman" w:hAnsi="Times New Roman"/>
          <w:sz w:val="24"/>
          <w:szCs w:val="24"/>
        </w:rPr>
        <w:t xml:space="preserve"> руб., и увеличилась на </w:t>
      </w:r>
      <w:r w:rsidR="0032643F" w:rsidRPr="00965243">
        <w:rPr>
          <w:rFonts w:ascii="Times New Roman" w:hAnsi="Times New Roman"/>
          <w:b/>
          <w:sz w:val="24"/>
          <w:szCs w:val="24"/>
        </w:rPr>
        <w:t>1,8</w:t>
      </w:r>
      <w:r w:rsidR="0098042B" w:rsidRPr="00965243">
        <w:rPr>
          <w:rFonts w:ascii="Times New Roman" w:hAnsi="Times New Roman"/>
          <w:sz w:val="24"/>
          <w:szCs w:val="24"/>
        </w:rPr>
        <w:t xml:space="preserve">%. </w:t>
      </w:r>
      <w:r w:rsidR="00965243" w:rsidRPr="00965243">
        <w:rPr>
          <w:rFonts w:ascii="Times New Roman" w:hAnsi="Times New Roman" w:cs="Times New Roman"/>
          <w:sz w:val="24"/>
          <w:szCs w:val="24"/>
        </w:rPr>
        <w:t xml:space="preserve">Повышение среднемесячной заработной платы работников дошкольных образовательных учреждений произошло в результате повышения заработной платы обслуживающего персонала (повышение минимального </w:t>
      </w:r>
      <w:proofErr w:type="gramStart"/>
      <w:r w:rsidR="00965243" w:rsidRPr="00965243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965243" w:rsidRPr="00965243">
        <w:rPr>
          <w:rFonts w:ascii="Times New Roman" w:hAnsi="Times New Roman" w:cs="Times New Roman"/>
          <w:sz w:val="24"/>
          <w:szCs w:val="24"/>
        </w:rPr>
        <w:t>)</w:t>
      </w:r>
      <w:r w:rsidR="00965243">
        <w:rPr>
          <w:rFonts w:ascii="Times New Roman" w:hAnsi="Times New Roman" w:cs="Times New Roman"/>
          <w:sz w:val="24"/>
          <w:szCs w:val="24"/>
        </w:rPr>
        <w:t>;</w:t>
      </w:r>
    </w:p>
    <w:p w:rsidR="00965243" w:rsidRPr="00965243" w:rsidRDefault="007910FE" w:rsidP="0004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243">
        <w:rPr>
          <w:rFonts w:ascii="Times New Roman" w:hAnsi="Times New Roman"/>
          <w:sz w:val="24"/>
          <w:szCs w:val="24"/>
        </w:rPr>
        <w:t xml:space="preserve">- учителей муниципальных общеобразовательных учреждений составила </w:t>
      </w:r>
      <w:r w:rsidR="00965243" w:rsidRPr="00965243">
        <w:rPr>
          <w:rFonts w:ascii="Times New Roman" w:hAnsi="Times New Roman"/>
          <w:sz w:val="24"/>
          <w:szCs w:val="24"/>
        </w:rPr>
        <w:t>22690,4</w:t>
      </w:r>
      <w:r w:rsidRPr="00965243">
        <w:rPr>
          <w:rFonts w:ascii="Times New Roman" w:hAnsi="Times New Roman"/>
          <w:sz w:val="24"/>
          <w:szCs w:val="24"/>
        </w:rPr>
        <w:t xml:space="preserve"> руб., и </w:t>
      </w:r>
      <w:r w:rsidR="00965243" w:rsidRPr="00965243">
        <w:rPr>
          <w:rFonts w:ascii="Times New Roman" w:hAnsi="Times New Roman"/>
          <w:sz w:val="24"/>
          <w:szCs w:val="24"/>
        </w:rPr>
        <w:t>уменьшилась</w:t>
      </w:r>
      <w:r w:rsidRPr="00965243">
        <w:rPr>
          <w:rFonts w:ascii="Times New Roman" w:hAnsi="Times New Roman"/>
          <w:sz w:val="24"/>
          <w:szCs w:val="24"/>
        </w:rPr>
        <w:t xml:space="preserve"> на </w:t>
      </w:r>
      <w:r w:rsidR="00965243" w:rsidRPr="00965243">
        <w:rPr>
          <w:rFonts w:ascii="Times New Roman" w:hAnsi="Times New Roman"/>
          <w:b/>
          <w:sz w:val="24"/>
          <w:szCs w:val="24"/>
        </w:rPr>
        <w:t>1,6</w:t>
      </w:r>
      <w:r w:rsidR="0098042B" w:rsidRPr="00965243">
        <w:rPr>
          <w:rFonts w:ascii="Times New Roman" w:hAnsi="Times New Roman" w:cs="Times New Roman"/>
          <w:sz w:val="24"/>
          <w:szCs w:val="24"/>
        </w:rPr>
        <w:t>%.</w:t>
      </w:r>
      <w:r w:rsidR="0098042B" w:rsidRPr="00965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243" w:rsidRPr="00965243">
        <w:rPr>
          <w:rFonts w:ascii="Times New Roman" w:hAnsi="Times New Roman" w:cs="Times New Roman"/>
          <w:sz w:val="24"/>
          <w:szCs w:val="24"/>
        </w:rPr>
        <w:t xml:space="preserve">Уменьшение заработной платы педагогов объясняется тем, что согласно Указу Президента Российской Федерации от 7 мая 2012 года №597 «О мероприятиях по реализации государственной социальной политики» средняя заработная </w:t>
      </w:r>
      <w:r w:rsidR="00965243" w:rsidRPr="00965243">
        <w:rPr>
          <w:rFonts w:ascii="Times New Roman" w:hAnsi="Times New Roman" w:cs="Times New Roman"/>
          <w:sz w:val="24"/>
          <w:szCs w:val="24"/>
        </w:rPr>
        <w:lastRenderedPageBreak/>
        <w:t>плата педагогов общего образования должна быть доведена до уровня средней заработной платы в Курганской области.</w:t>
      </w:r>
      <w:proofErr w:type="gramEnd"/>
      <w:r w:rsidR="00965243" w:rsidRPr="00965243">
        <w:rPr>
          <w:rFonts w:ascii="Times New Roman" w:hAnsi="Times New Roman" w:cs="Times New Roman"/>
          <w:sz w:val="24"/>
          <w:szCs w:val="24"/>
        </w:rPr>
        <w:t xml:space="preserve"> Средняя заработная плата педагогов школ </w:t>
      </w:r>
      <w:proofErr w:type="spellStart"/>
      <w:r w:rsidR="00965243" w:rsidRPr="0096524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65243" w:rsidRPr="00965243">
        <w:rPr>
          <w:rFonts w:ascii="Times New Roman" w:hAnsi="Times New Roman" w:cs="Times New Roman"/>
          <w:sz w:val="24"/>
          <w:szCs w:val="24"/>
        </w:rPr>
        <w:t xml:space="preserve"> района превышала уровень средней заработной платы в Курганской области, поэтому заработная плата педагогов  была приближена к уровню средней заработной платы по Курганской области.</w:t>
      </w:r>
    </w:p>
    <w:p w:rsidR="00616169" w:rsidRDefault="00616169" w:rsidP="0004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243">
        <w:rPr>
          <w:rFonts w:ascii="Times New Roman" w:hAnsi="Times New Roman" w:cs="Times New Roman"/>
          <w:sz w:val="24"/>
          <w:szCs w:val="24"/>
        </w:rPr>
        <w:t>На среднесрочную перспективу предполагается увеличение среднемесячной заработной платы работников  общеобразовательных учреждений в связи с повышением минимального размера оплаты труда</w:t>
      </w:r>
      <w:proofErr w:type="gramStart"/>
      <w:r w:rsidR="0006605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86D52" w:rsidRPr="0006605C" w:rsidRDefault="00C86D52" w:rsidP="00B50993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5C">
        <w:rPr>
          <w:rFonts w:ascii="Times New Roman" w:hAnsi="Times New Roman" w:cs="Times New Roman"/>
          <w:sz w:val="24"/>
          <w:szCs w:val="24"/>
        </w:rPr>
        <w:t xml:space="preserve">- муниципальных учреждений культуры и искусства составила </w:t>
      </w:r>
      <w:r w:rsidR="00325638" w:rsidRPr="0006605C">
        <w:rPr>
          <w:rFonts w:ascii="Times New Roman" w:hAnsi="Times New Roman" w:cs="Times New Roman"/>
          <w:sz w:val="24"/>
          <w:szCs w:val="24"/>
        </w:rPr>
        <w:t>14380,2</w:t>
      </w:r>
      <w:r w:rsidRPr="0006605C">
        <w:rPr>
          <w:rFonts w:ascii="Times New Roman" w:hAnsi="Times New Roman" w:cs="Times New Roman"/>
          <w:sz w:val="24"/>
          <w:szCs w:val="24"/>
        </w:rPr>
        <w:t xml:space="preserve"> руб., и увеличилась на </w:t>
      </w:r>
      <w:r w:rsidR="00325638" w:rsidRPr="0006605C">
        <w:rPr>
          <w:rFonts w:ascii="Times New Roman" w:hAnsi="Times New Roman" w:cs="Times New Roman"/>
          <w:b/>
          <w:sz w:val="24"/>
          <w:szCs w:val="24"/>
        </w:rPr>
        <w:t>9,1</w:t>
      </w:r>
      <w:r w:rsidRPr="0006605C">
        <w:rPr>
          <w:rFonts w:ascii="Times New Roman" w:hAnsi="Times New Roman" w:cs="Times New Roman"/>
          <w:b/>
          <w:sz w:val="24"/>
          <w:szCs w:val="24"/>
        </w:rPr>
        <w:t>%</w:t>
      </w:r>
      <w:r w:rsidR="00C5044F" w:rsidRPr="0006605C">
        <w:rPr>
          <w:rFonts w:ascii="Times New Roman" w:hAnsi="Times New Roman" w:cs="Times New Roman"/>
          <w:b/>
          <w:sz w:val="24"/>
          <w:szCs w:val="24"/>
        </w:rPr>
        <w:t>;</w:t>
      </w:r>
    </w:p>
    <w:p w:rsidR="00C5044F" w:rsidRPr="0006605C" w:rsidRDefault="00C5044F" w:rsidP="00B50993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5C"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 составила </w:t>
      </w:r>
      <w:r w:rsidR="00325638" w:rsidRPr="0006605C">
        <w:rPr>
          <w:rFonts w:ascii="Times New Roman" w:hAnsi="Times New Roman" w:cs="Times New Roman"/>
          <w:sz w:val="24"/>
          <w:szCs w:val="24"/>
        </w:rPr>
        <w:t>15279,3</w:t>
      </w:r>
      <w:r w:rsidRPr="0006605C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325638" w:rsidRPr="0006605C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06605C">
        <w:rPr>
          <w:rFonts w:ascii="Times New Roman" w:hAnsi="Times New Roman" w:cs="Times New Roman"/>
          <w:sz w:val="24"/>
          <w:szCs w:val="24"/>
        </w:rPr>
        <w:t xml:space="preserve"> на </w:t>
      </w:r>
      <w:r w:rsidR="00325638" w:rsidRPr="0006605C">
        <w:rPr>
          <w:rFonts w:ascii="Times New Roman" w:hAnsi="Times New Roman" w:cs="Times New Roman"/>
          <w:b/>
          <w:sz w:val="24"/>
          <w:szCs w:val="24"/>
        </w:rPr>
        <w:t>2,6</w:t>
      </w:r>
      <w:r w:rsidRPr="0006605C">
        <w:rPr>
          <w:rFonts w:ascii="Times New Roman" w:hAnsi="Times New Roman" w:cs="Times New Roman"/>
          <w:sz w:val="24"/>
          <w:szCs w:val="24"/>
        </w:rPr>
        <w:t>%</w:t>
      </w:r>
      <w:r w:rsidR="0006605C" w:rsidRPr="0006605C">
        <w:rPr>
          <w:rFonts w:ascii="Times New Roman" w:hAnsi="Times New Roman" w:cs="Times New Roman"/>
          <w:sz w:val="24"/>
          <w:szCs w:val="24"/>
        </w:rPr>
        <w:t>.</w:t>
      </w:r>
    </w:p>
    <w:p w:rsidR="00D267E9" w:rsidRPr="000032CB" w:rsidRDefault="007910FE" w:rsidP="00B50993">
      <w:pPr>
        <w:pStyle w:val="ConsPlusNonformat"/>
        <w:widowControl/>
        <w:ind w:left="-576" w:right="-93" w:firstLine="552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0032CB">
        <w:rPr>
          <w:rFonts w:ascii="Arial" w:hAnsi="Arial"/>
          <w:color w:val="FF0000"/>
          <w:sz w:val="24"/>
        </w:rPr>
        <w:t xml:space="preserve"> </w:t>
      </w:r>
    </w:p>
    <w:p w:rsidR="008C06C2" w:rsidRPr="00817844" w:rsidRDefault="008C06C2" w:rsidP="008C06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-576" w:right="-93" w:firstLine="552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81784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Дошкольное</w:t>
      </w:r>
      <w:r w:rsidR="005850B5" w:rsidRPr="0081784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81784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образование.</w:t>
      </w:r>
    </w:p>
    <w:p w:rsidR="00B61FCD" w:rsidRDefault="00817844" w:rsidP="00B6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44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за 2015 год составила 54,7% и уменьшилась по сравнению с прошлым годом (55,4 %). Уменьшение произошло из-за увеличения количества детей данного возраста, зарегистрированных на территории </w:t>
      </w:r>
      <w:proofErr w:type="spellStart"/>
      <w:r w:rsidRPr="0081784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17844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B61FCD" w:rsidRDefault="00EC5E3E" w:rsidP="00B6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3E">
        <w:rPr>
          <w:rFonts w:ascii="Times New Roman" w:hAnsi="Times New Roman" w:cs="Times New Roman"/>
          <w:sz w:val="24"/>
          <w:szCs w:val="24"/>
        </w:rPr>
        <w:t xml:space="preserve">Прогнозируемое увеличение </w:t>
      </w:r>
      <w:r w:rsidR="00243F6E">
        <w:rPr>
          <w:rFonts w:ascii="Times New Roman" w:hAnsi="Times New Roman" w:cs="Times New Roman"/>
          <w:sz w:val="24"/>
          <w:szCs w:val="24"/>
        </w:rPr>
        <w:t xml:space="preserve">доли детей получающих дошкольную образовательную услугу </w:t>
      </w:r>
      <w:r w:rsidRPr="00EC5E3E">
        <w:rPr>
          <w:rFonts w:ascii="Times New Roman" w:hAnsi="Times New Roman" w:cs="Times New Roman"/>
          <w:sz w:val="24"/>
          <w:szCs w:val="24"/>
        </w:rPr>
        <w:t>в 2016 году</w:t>
      </w:r>
      <w:r w:rsidR="00243F6E">
        <w:rPr>
          <w:rFonts w:ascii="Times New Roman" w:hAnsi="Times New Roman" w:cs="Times New Roman"/>
          <w:sz w:val="24"/>
          <w:szCs w:val="24"/>
        </w:rPr>
        <w:t xml:space="preserve"> -</w:t>
      </w:r>
      <w:r w:rsidRPr="00EC5E3E">
        <w:rPr>
          <w:rFonts w:ascii="Times New Roman" w:hAnsi="Times New Roman" w:cs="Times New Roman"/>
          <w:sz w:val="24"/>
          <w:szCs w:val="24"/>
        </w:rPr>
        <w:t xml:space="preserve"> за счет зачисления в дополнительную </w:t>
      </w:r>
      <w:proofErr w:type="gramStart"/>
      <w:r w:rsidRPr="00EC5E3E">
        <w:rPr>
          <w:rFonts w:ascii="Times New Roman" w:hAnsi="Times New Roman" w:cs="Times New Roman"/>
          <w:sz w:val="24"/>
          <w:szCs w:val="24"/>
        </w:rPr>
        <w:t>группу полного дня</w:t>
      </w:r>
      <w:proofErr w:type="gramEnd"/>
      <w:r w:rsidRPr="00EC5E3E">
        <w:rPr>
          <w:rFonts w:ascii="Times New Roman" w:hAnsi="Times New Roman" w:cs="Times New Roman"/>
          <w:sz w:val="24"/>
          <w:szCs w:val="24"/>
        </w:rPr>
        <w:t xml:space="preserve"> в МКДОУ «Введенский детский сад №2»  (15 детей) и в новый детский сад с. </w:t>
      </w:r>
      <w:proofErr w:type="spellStart"/>
      <w:r w:rsidRPr="00EC5E3E">
        <w:rPr>
          <w:rFonts w:ascii="Times New Roman" w:hAnsi="Times New Roman" w:cs="Times New Roman"/>
          <w:sz w:val="24"/>
          <w:szCs w:val="24"/>
        </w:rPr>
        <w:t>Пименовка</w:t>
      </w:r>
      <w:proofErr w:type="spellEnd"/>
      <w:r w:rsidRPr="00EC5E3E">
        <w:rPr>
          <w:rFonts w:ascii="Times New Roman" w:hAnsi="Times New Roman" w:cs="Times New Roman"/>
          <w:sz w:val="24"/>
          <w:szCs w:val="24"/>
        </w:rPr>
        <w:t xml:space="preserve"> (60 детей).</w:t>
      </w:r>
    </w:p>
    <w:p w:rsidR="008C06C2" w:rsidRPr="00B61FCD" w:rsidRDefault="008C06C2" w:rsidP="00B6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A5">
        <w:rPr>
          <w:rFonts w:ascii="Times New Roman" w:hAnsi="Times New Roman"/>
          <w:sz w:val="24"/>
          <w:szCs w:val="24"/>
        </w:rPr>
        <w:t>Уменьшение доли детей в возрасте 1-6 лет, стоящих на учете для определения в муниципальные дошкольные образовательные учреждения в общей численности детей в возрасте 1-6 лет произошло за счет появления дополнительных</w:t>
      </w:r>
      <w:r w:rsidR="00705BA5" w:rsidRPr="00705BA5">
        <w:rPr>
          <w:rFonts w:ascii="Times New Roman" w:hAnsi="Times New Roman"/>
          <w:sz w:val="24"/>
          <w:szCs w:val="24"/>
        </w:rPr>
        <w:t xml:space="preserve"> мест в дошкольных учреждениях.</w:t>
      </w:r>
    </w:p>
    <w:p w:rsidR="005850B5" w:rsidRPr="000032CB" w:rsidRDefault="005850B5" w:rsidP="008C06C2">
      <w:pPr>
        <w:pStyle w:val="a4"/>
        <w:ind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0B5" w:rsidRPr="00C66EBF" w:rsidRDefault="005850B5" w:rsidP="005850B5">
      <w:pPr>
        <w:pStyle w:val="a4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C66EBF">
        <w:rPr>
          <w:rFonts w:ascii="Times New Roman" w:hAnsi="Times New Roman"/>
          <w:b/>
          <w:sz w:val="24"/>
          <w:szCs w:val="24"/>
        </w:rPr>
        <w:t>Общее и дополнительное образование.</w:t>
      </w:r>
    </w:p>
    <w:p w:rsidR="005850B5" w:rsidRPr="000032CB" w:rsidRDefault="005850B5" w:rsidP="005850B5">
      <w:pPr>
        <w:pStyle w:val="a4"/>
        <w:ind w:firstLine="425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86E46" w:rsidRDefault="00186E46" w:rsidP="00186E46">
      <w:pPr>
        <w:pStyle w:val="a9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 едином государственном экзамене в 2015 году </w:t>
      </w:r>
      <w:r>
        <w:rPr>
          <w:rFonts w:ascii="Times New Roman" w:hAnsi="Times New Roman"/>
          <w:sz w:val="24"/>
          <w:szCs w:val="24"/>
        </w:rPr>
        <w:t>приняли участие 129 выпускников текущего года и 2 выпускника, не прошедшие государственную итоговую аттестацию в предыдущие годы.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>
        <w:rPr>
          <w:rFonts w:ascii="Times New Roman" w:eastAsia="MS Mincho" w:hAnsi="Times New Roman"/>
          <w:sz w:val="24"/>
          <w:szCs w:val="24"/>
        </w:rPr>
        <w:t xml:space="preserve"> Государственную итоговую  аттестацию по математике прошли 128 выпускников, 3 выпускника не преодолели, установленный минимальный балл.</w:t>
      </w:r>
    </w:p>
    <w:p w:rsidR="00186E46" w:rsidRDefault="00186E46" w:rsidP="00186E46">
      <w:pPr>
        <w:pStyle w:val="1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Русский язык сдавали  130  выпускников, включая  удаленную в прошлом году за нарушение выпускницу. Все выпускники преодолели минимальный балл для получения аттестата. </w:t>
      </w:r>
    </w:p>
    <w:p w:rsidR="00186E46" w:rsidRDefault="00186E46" w:rsidP="00186E46">
      <w:pPr>
        <w:pStyle w:val="11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131 выпускника  преодолели минимальное количество баллов, установленное </w:t>
      </w:r>
      <w:proofErr w:type="spellStart"/>
      <w:r>
        <w:rPr>
          <w:rFonts w:ascii="Times New Roman" w:hAnsi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математике и русскому языку (без учета предметов по выбору) 128,  что составило 97,7 %, в прошлом году 99,2% от общего количества выпускников, принявших участие в едином государственном экзамене.</w:t>
      </w:r>
    </w:p>
    <w:p w:rsidR="00186E46" w:rsidRDefault="00186E46" w:rsidP="00186E46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не получили аттестат 3 выпускника </w:t>
      </w:r>
      <w:proofErr w:type="spellStart"/>
      <w:r>
        <w:rPr>
          <w:rFonts w:ascii="Times New Roman" w:hAnsi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вечерней школы, что составило 2,3%. Увеличение доли выпускников не получивших аттестаты произошло по причине неявки на экзамен совершеннолетних выпускников </w:t>
      </w:r>
      <w:proofErr w:type="spellStart"/>
      <w:r>
        <w:rPr>
          <w:rFonts w:ascii="Times New Roman" w:hAnsi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вечерней школы.</w:t>
      </w:r>
    </w:p>
    <w:p w:rsidR="00183EDC" w:rsidRDefault="00183EDC" w:rsidP="00C66EBF">
      <w:pPr>
        <w:pStyle w:val="11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2015 году составила 83,3%, дальнейшее увеличение доли  муниципальных общеобразовательных учреждений, соответствующих современным </w:t>
      </w:r>
      <w:r>
        <w:rPr>
          <w:rFonts w:ascii="Times New Roman" w:hAnsi="Times New Roman"/>
          <w:sz w:val="24"/>
          <w:szCs w:val="24"/>
        </w:rPr>
        <w:lastRenderedPageBreak/>
        <w:t xml:space="preserve">требованиям обучения планируется за счет увеличения количества учреждений, имеющих видеонаблюдение и тревожную кнопку.   </w:t>
      </w:r>
    </w:p>
    <w:p w:rsidR="00FC6BAA" w:rsidRDefault="00FC6BAA" w:rsidP="00C66EBF">
      <w:pPr>
        <w:pStyle w:val="11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EDC" w:rsidRDefault="00183EDC" w:rsidP="00616881">
      <w:pPr>
        <w:pStyle w:val="11"/>
        <w:ind w:firstLine="708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в 2015 году 4%, требуется капитальный ремонт здания МКОУ «Барабинская средняя общеобразовательная школа». В виду сложившихся обстоятельств, денежные средства на ремонт школы в 2015 не выделены и на последующие годы финансирование не запланировано. На  2018 год  планируется сделать заявку в Департамент образования и науки Курганской области на капитальный ремонт школы.</w:t>
      </w:r>
    </w:p>
    <w:p w:rsidR="00183EDC" w:rsidRDefault="00183EDC" w:rsidP="00183EDC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</w:p>
    <w:p w:rsidR="00E94E21" w:rsidRPr="00B65542" w:rsidRDefault="00E94E21" w:rsidP="00B6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42">
        <w:rPr>
          <w:rFonts w:ascii="Times New Roman" w:hAnsi="Times New Roman" w:cs="Times New Roman"/>
          <w:sz w:val="24"/>
          <w:szCs w:val="24"/>
        </w:rPr>
        <w:t>Снижение доли обучающихся в муниципальных общеобразовательных учреждениях, занимающихся во вторую смену, произошло в связи с тем, что возросла общая  численность обучающихся, а численность детей, занимающихся во вторую смену, осталась прежней.</w:t>
      </w:r>
    </w:p>
    <w:p w:rsidR="00E94E21" w:rsidRPr="00B65542" w:rsidRDefault="00E94E21" w:rsidP="00B65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4E21" w:rsidRDefault="00E94E21" w:rsidP="00B65542">
      <w:pPr>
        <w:spacing w:after="0" w:line="240" w:lineRule="auto"/>
        <w:ind w:firstLine="709"/>
        <w:jc w:val="both"/>
      </w:pPr>
      <w:r w:rsidRPr="00B65542">
        <w:rPr>
          <w:rFonts w:ascii="Times New Roman" w:hAnsi="Times New Roman" w:cs="Times New Roman"/>
          <w:sz w:val="24"/>
          <w:szCs w:val="24"/>
        </w:rPr>
        <w:t xml:space="preserve">Уменьшение расходов бюджета на общее образование в расчете на 1 обучающегося за 2015  год произошло в связи с увеличением численности учащихся и за счёт наличия кредиторской задолженности. </w:t>
      </w:r>
      <w:proofErr w:type="gramStart"/>
      <w:r w:rsidRPr="00B65542">
        <w:rPr>
          <w:rFonts w:ascii="Times New Roman" w:hAnsi="Times New Roman" w:cs="Times New Roman"/>
          <w:sz w:val="24"/>
          <w:szCs w:val="24"/>
        </w:rPr>
        <w:t>На последующие 3 года  запланировано увеличение расходов в связи  с увеличением расходов на оплату труда работников общеобразовательных школ, увеличением расходов на капитальный ремонт школ, на коммунальные услуги.</w:t>
      </w:r>
      <w:r>
        <w:t xml:space="preserve"> </w:t>
      </w:r>
      <w:proofErr w:type="gramEnd"/>
    </w:p>
    <w:p w:rsidR="00183EDC" w:rsidRPr="004C481B" w:rsidRDefault="00183EDC" w:rsidP="008C06C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A1915" w:rsidRPr="00B76D46" w:rsidRDefault="000A1915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46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 xml:space="preserve">В 2015 году деятельность учреждений культуры </w:t>
      </w:r>
      <w:proofErr w:type="spellStart"/>
      <w:r w:rsidRPr="003800C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800C1">
        <w:rPr>
          <w:rFonts w:ascii="Times New Roman" w:hAnsi="Times New Roman" w:cs="Times New Roman"/>
          <w:sz w:val="24"/>
          <w:szCs w:val="24"/>
        </w:rPr>
        <w:t xml:space="preserve"> района осуществлялась в рамках муниципальной программы  «Развитие культуры </w:t>
      </w:r>
      <w:proofErr w:type="spellStart"/>
      <w:r w:rsidRPr="003800C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800C1">
        <w:rPr>
          <w:rFonts w:ascii="Times New Roman" w:hAnsi="Times New Roman" w:cs="Times New Roman"/>
          <w:sz w:val="24"/>
          <w:szCs w:val="24"/>
        </w:rPr>
        <w:t xml:space="preserve"> района (2015-2017гг)».</w:t>
      </w:r>
    </w:p>
    <w:p w:rsidR="00FC6BAA" w:rsidRPr="003800C1" w:rsidRDefault="00FC6BAA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>Сеть учреждений культуры остается неизменной последние годы и  составляет: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356" w:type="dxa"/>
        <w:tblInd w:w="108" w:type="dxa"/>
        <w:tblLook w:val="01E0"/>
      </w:tblPr>
      <w:tblGrid>
        <w:gridCol w:w="2057"/>
        <w:gridCol w:w="2134"/>
        <w:gridCol w:w="1905"/>
        <w:gridCol w:w="1275"/>
        <w:gridCol w:w="1985"/>
      </w:tblGrid>
      <w:tr w:rsidR="003800C1" w:rsidRPr="003800C1" w:rsidTr="00F03EB4">
        <w:trPr>
          <w:trHeight w:val="775"/>
        </w:trPr>
        <w:tc>
          <w:tcPr>
            <w:tcW w:w="2057" w:type="dxa"/>
          </w:tcPr>
          <w:p w:rsidR="003800C1" w:rsidRPr="003800C1" w:rsidRDefault="003800C1" w:rsidP="00380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 w:rsidRPr="003800C1">
              <w:rPr>
                <w:sz w:val="24"/>
                <w:szCs w:val="24"/>
              </w:rPr>
              <w:t>ание учреждения</w:t>
            </w:r>
          </w:p>
        </w:tc>
        <w:tc>
          <w:tcPr>
            <w:tcW w:w="2134" w:type="dxa"/>
          </w:tcPr>
          <w:p w:rsidR="003800C1" w:rsidRPr="003800C1" w:rsidRDefault="003800C1" w:rsidP="003800C1">
            <w:pPr>
              <w:jc w:val="center"/>
              <w:rPr>
                <w:sz w:val="24"/>
                <w:szCs w:val="24"/>
              </w:rPr>
            </w:pPr>
            <w:proofErr w:type="spellStart"/>
            <w:r w:rsidRPr="003800C1">
              <w:rPr>
                <w:sz w:val="24"/>
                <w:szCs w:val="24"/>
              </w:rPr>
              <w:t>Культурно-досуговые</w:t>
            </w:r>
            <w:proofErr w:type="spellEnd"/>
            <w:r w:rsidRPr="003800C1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905" w:type="dxa"/>
          </w:tcPr>
          <w:p w:rsidR="003800C1" w:rsidRPr="003800C1" w:rsidRDefault="003800C1" w:rsidP="003800C1">
            <w:pPr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Библиотеки</w:t>
            </w:r>
          </w:p>
        </w:tc>
        <w:tc>
          <w:tcPr>
            <w:tcW w:w="1275" w:type="dxa"/>
          </w:tcPr>
          <w:p w:rsidR="003800C1" w:rsidRPr="003800C1" w:rsidRDefault="003800C1" w:rsidP="003800C1">
            <w:pPr>
              <w:ind w:firstLine="33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Музеи</w:t>
            </w:r>
          </w:p>
        </w:tc>
        <w:tc>
          <w:tcPr>
            <w:tcW w:w="1985" w:type="dxa"/>
          </w:tcPr>
          <w:p w:rsidR="003800C1" w:rsidRPr="003800C1" w:rsidRDefault="003800C1" w:rsidP="003800C1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Детские музыкальные школы</w:t>
            </w:r>
          </w:p>
        </w:tc>
      </w:tr>
      <w:tr w:rsidR="003800C1" w:rsidRPr="003800C1" w:rsidTr="00F03EB4">
        <w:tc>
          <w:tcPr>
            <w:tcW w:w="2057" w:type="dxa"/>
          </w:tcPr>
          <w:p w:rsidR="003800C1" w:rsidRPr="003800C1" w:rsidRDefault="003800C1" w:rsidP="003800C1">
            <w:pPr>
              <w:ind w:firstLine="34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количество</w:t>
            </w:r>
          </w:p>
        </w:tc>
        <w:tc>
          <w:tcPr>
            <w:tcW w:w="2134" w:type="dxa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31</w:t>
            </w:r>
          </w:p>
        </w:tc>
        <w:tc>
          <w:tcPr>
            <w:tcW w:w="1905" w:type="dxa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5</w:t>
            </w:r>
          </w:p>
        </w:tc>
      </w:tr>
    </w:tbl>
    <w:p w:rsidR="003800C1" w:rsidRPr="003800C1" w:rsidRDefault="003800C1" w:rsidP="00380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>Обеспеченность учреждениями культуры  низкая - клубного типа - 42%, библиотеками - 41% от нормативов.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>В 2015году среднемесячная номинальная начисленная заработная плата работников культуры в целом  по району составила 14380,2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00C1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выросла на 9,1%.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 xml:space="preserve">В учреждениях культуры, подведомственных Отделу культуры </w:t>
      </w:r>
      <w:proofErr w:type="spellStart"/>
      <w:r w:rsidRPr="003800C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800C1">
        <w:rPr>
          <w:rFonts w:ascii="Times New Roman" w:hAnsi="Times New Roman" w:cs="Times New Roman"/>
          <w:sz w:val="24"/>
          <w:szCs w:val="24"/>
        </w:rPr>
        <w:t xml:space="preserve"> района, средняя заработная плата работников СДК и библиотек составляет 13112,0</w:t>
      </w:r>
      <w:r w:rsidR="00F03EB4">
        <w:rPr>
          <w:rFonts w:ascii="Times New Roman" w:hAnsi="Times New Roman" w:cs="Times New Roman"/>
          <w:sz w:val="24"/>
          <w:szCs w:val="24"/>
        </w:rPr>
        <w:t xml:space="preserve"> </w:t>
      </w:r>
      <w:r w:rsidRPr="003800C1">
        <w:rPr>
          <w:rFonts w:ascii="Times New Roman" w:hAnsi="Times New Roman" w:cs="Times New Roman"/>
          <w:sz w:val="24"/>
          <w:szCs w:val="24"/>
        </w:rPr>
        <w:t>руб., педагогов детских музыкальных школ</w:t>
      </w:r>
      <w:r w:rsidR="00F03EB4">
        <w:rPr>
          <w:rFonts w:ascii="Times New Roman" w:hAnsi="Times New Roman" w:cs="Times New Roman"/>
          <w:sz w:val="24"/>
          <w:szCs w:val="24"/>
        </w:rPr>
        <w:t xml:space="preserve"> - </w:t>
      </w:r>
      <w:r w:rsidRPr="003800C1">
        <w:rPr>
          <w:rFonts w:ascii="Times New Roman" w:hAnsi="Times New Roman" w:cs="Times New Roman"/>
          <w:sz w:val="24"/>
          <w:szCs w:val="24"/>
        </w:rPr>
        <w:t>18777,0</w:t>
      </w:r>
      <w:r w:rsidR="00F03EB4">
        <w:rPr>
          <w:rFonts w:ascii="Times New Roman" w:hAnsi="Times New Roman" w:cs="Times New Roman"/>
          <w:sz w:val="24"/>
          <w:szCs w:val="24"/>
        </w:rPr>
        <w:t xml:space="preserve"> </w:t>
      </w:r>
      <w:r w:rsidRPr="003800C1">
        <w:rPr>
          <w:rFonts w:ascii="Times New Roman" w:hAnsi="Times New Roman" w:cs="Times New Roman"/>
          <w:sz w:val="24"/>
          <w:szCs w:val="24"/>
        </w:rPr>
        <w:t>руб.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>Доля расходов на культуру в консолидированном бюджете района возросла в 2015году и составляет: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356" w:type="dxa"/>
        <w:tblInd w:w="108" w:type="dxa"/>
        <w:tblLook w:val="01E0"/>
      </w:tblPr>
      <w:tblGrid>
        <w:gridCol w:w="3119"/>
        <w:gridCol w:w="2977"/>
        <w:gridCol w:w="3260"/>
      </w:tblGrid>
      <w:tr w:rsidR="003800C1" w:rsidRPr="003800C1" w:rsidTr="00F03EB4">
        <w:tc>
          <w:tcPr>
            <w:tcW w:w="3119" w:type="dxa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2013 год</w:t>
            </w:r>
          </w:p>
        </w:tc>
        <w:tc>
          <w:tcPr>
            <w:tcW w:w="2977" w:type="dxa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2014год</w:t>
            </w:r>
          </w:p>
        </w:tc>
        <w:tc>
          <w:tcPr>
            <w:tcW w:w="3260" w:type="dxa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2015 год</w:t>
            </w:r>
          </w:p>
        </w:tc>
      </w:tr>
      <w:tr w:rsidR="003800C1" w:rsidRPr="003800C1" w:rsidTr="00F03EB4">
        <w:tc>
          <w:tcPr>
            <w:tcW w:w="3119" w:type="dxa"/>
          </w:tcPr>
          <w:p w:rsidR="003800C1" w:rsidRPr="003800C1" w:rsidRDefault="003800C1" w:rsidP="003800C1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3800C1">
              <w:rPr>
                <w:b/>
                <w:sz w:val="24"/>
                <w:szCs w:val="24"/>
              </w:rPr>
              <w:t>5,3%</w:t>
            </w:r>
          </w:p>
        </w:tc>
        <w:tc>
          <w:tcPr>
            <w:tcW w:w="2977" w:type="dxa"/>
          </w:tcPr>
          <w:p w:rsidR="003800C1" w:rsidRPr="003800C1" w:rsidRDefault="003800C1" w:rsidP="003800C1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3800C1">
              <w:rPr>
                <w:b/>
                <w:sz w:val="24"/>
                <w:szCs w:val="24"/>
              </w:rPr>
              <w:t>4,4%</w:t>
            </w:r>
          </w:p>
        </w:tc>
        <w:tc>
          <w:tcPr>
            <w:tcW w:w="3260" w:type="dxa"/>
          </w:tcPr>
          <w:p w:rsidR="003800C1" w:rsidRPr="003800C1" w:rsidRDefault="003800C1" w:rsidP="003800C1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3800C1">
              <w:rPr>
                <w:b/>
                <w:sz w:val="24"/>
                <w:szCs w:val="24"/>
              </w:rPr>
              <w:t>5,22%</w:t>
            </w:r>
          </w:p>
        </w:tc>
      </w:tr>
    </w:tbl>
    <w:p w:rsidR="00FC6BAA" w:rsidRDefault="00FC6BAA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>Деятельность учреждений культуры имеет устойчивую динамику и  характеризуется следующим образом:</w:t>
      </w:r>
    </w:p>
    <w:tbl>
      <w:tblPr>
        <w:tblStyle w:val="af3"/>
        <w:tblW w:w="10041" w:type="dxa"/>
        <w:tblInd w:w="-291" w:type="dxa"/>
        <w:tblLayout w:type="fixed"/>
        <w:tblLook w:val="01E0"/>
      </w:tblPr>
      <w:tblGrid>
        <w:gridCol w:w="966"/>
        <w:gridCol w:w="1701"/>
        <w:gridCol w:w="1560"/>
        <w:gridCol w:w="1276"/>
        <w:gridCol w:w="1701"/>
        <w:gridCol w:w="1277"/>
        <w:gridCol w:w="1560"/>
      </w:tblGrid>
      <w:tr w:rsidR="003800C1" w:rsidRPr="003800C1" w:rsidTr="00B76D46">
        <w:tc>
          <w:tcPr>
            <w:tcW w:w="966" w:type="dxa"/>
            <w:vMerge w:val="restart"/>
          </w:tcPr>
          <w:p w:rsidR="003800C1" w:rsidRPr="003800C1" w:rsidRDefault="003800C1" w:rsidP="00B76D46">
            <w:pPr>
              <w:ind w:firstLine="7"/>
              <w:jc w:val="both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537" w:type="dxa"/>
            <w:gridSpan w:val="3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Детские</w:t>
            </w:r>
          </w:p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музыкальные</w:t>
            </w:r>
          </w:p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школы</w:t>
            </w:r>
          </w:p>
        </w:tc>
        <w:tc>
          <w:tcPr>
            <w:tcW w:w="2837" w:type="dxa"/>
            <w:gridSpan w:val="2"/>
          </w:tcPr>
          <w:p w:rsidR="003800C1" w:rsidRPr="003800C1" w:rsidRDefault="003800C1" w:rsidP="003800C1">
            <w:pPr>
              <w:ind w:firstLine="708"/>
              <w:jc w:val="center"/>
              <w:rPr>
                <w:sz w:val="24"/>
                <w:szCs w:val="24"/>
              </w:rPr>
            </w:pPr>
            <w:proofErr w:type="spellStart"/>
            <w:r w:rsidRPr="003800C1">
              <w:rPr>
                <w:sz w:val="24"/>
                <w:szCs w:val="24"/>
              </w:rPr>
              <w:t>Культурно-досуговые</w:t>
            </w:r>
            <w:proofErr w:type="spellEnd"/>
            <w:r w:rsidRPr="003800C1">
              <w:rPr>
                <w:sz w:val="24"/>
                <w:szCs w:val="24"/>
              </w:rPr>
              <w:t xml:space="preserve"> учреждения</w:t>
            </w:r>
          </w:p>
        </w:tc>
      </w:tr>
      <w:tr w:rsidR="003800C1" w:rsidRPr="003800C1" w:rsidTr="00B76D46">
        <w:tc>
          <w:tcPr>
            <w:tcW w:w="966" w:type="dxa"/>
            <w:vMerge/>
            <w:vAlign w:val="center"/>
          </w:tcPr>
          <w:p w:rsidR="003800C1" w:rsidRPr="003800C1" w:rsidRDefault="003800C1" w:rsidP="003800C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0C1" w:rsidRPr="00B76D46" w:rsidRDefault="003800C1" w:rsidP="00B76D46">
            <w:pPr>
              <w:ind w:right="-108" w:firstLine="34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охват населения библиотечным обслуживанием</w:t>
            </w:r>
            <w:proofErr w:type="gramStart"/>
            <w:r w:rsidRPr="00B76D4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3800C1" w:rsidRPr="00B76D46" w:rsidRDefault="003800C1" w:rsidP="00B76D46">
            <w:pPr>
              <w:ind w:right="-108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 xml:space="preserve">число </w:t>
            </w:r>
          </w:p>
          <w:p w:rsidR="003800C1" w:rsidRPr="00B76D46" w:rsidRDefault="003800C1" w:rsidP="00B76D46">
            <w:pPr>
              <w:ind w:right="-108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пользователей</w:t>
            </w:r>
          </w:p>
          <w:p w:rsidR="003800C1" w:rsidRPr="00B76D46" w:rsidRDefault="003800C1" w:rsidP="00B76D46">
            <w:pPr>
              <w:ind w:right="-108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(тыс. чел.)</w:t>
            </w:r>
          </w:p>
        </w:tc>
        <w:tc>
          <w:tcPr>
            <w:tcW w:w="1276" w:type="dxa"/>
          </w:tcPr>
          <w:p w:rsidR="003800C1" w:rsidRPr="00B76D46" w:rsidRDefault="003800C1" w:rsidP="00B76D46">
            <w:pPr>
              <w:ind w:right="-107" w:firstLine="34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 xml:space="preserve">количество </w:t>
            </w:r>
          </w:p>
          <w:p w:rsidR="003800C1" w:rsidRPr="00B76D46" w:rsidRDefault="003800C1" w:rsidP="00B76D46">
            <w:pPr>
              <w:ind w:right="-107" w:firstLine="34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посещений</w:t>
            </w:r>
          </w:p>
          <w:p w:rsidR="003800C1" w:rsidRPr="00B76D46" w:rsidRDefault="003800C1" w:rsidP="00B76D46">
            <w:pPr>
              <w:ind w:right="-107" w:firstLine="34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(тыс. чел.)</w:t>
            </w:r>
          </w:p>
        </w:tc>
        <w:tc>
          <w:tcPr>
            <w:tcW w:w="1701" w:type="dxa"/>
          </w:tcPr>
          <w:p w:rsidR="003800C1" w:rsidRPr="00B76D46" w:rsidRDefault="003800C1" w:rsidP="00B76D46">
            <w:pPr>
              <w:ind w:left="-109" w:right="-107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охват</w:t>
            </w:r>
          </w:p>
          <w:p w:rsidR="003800C1" w:rsidRPr="00B76D46" w:rsidRDefault="00B76D46" w:rsidP="00B76D46">
            <w:pPr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</w:t>
            </w:r>
            <w:r w:rsidR="003800C1" w:rsidRPr="00B76D46">
              <w:rPr>
                <w:sz w:val="22"/>
                <w:szCs w:val="22"/>
              </w:rPr>
              <w:t xml:space="preserve">ным </w:t>
            </w:r>
          </w:p>
          <w:p w:rsidR="003800C1" w:rsidRPr="00B76D46" w:rsidRDefault="003800C1" w:rsidP="00B76D46">
            <w:pPr>
              <w:ind w:left="-109" w:right="-107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образованием</w:t>
            </w:r>
            <w:proofErr w:type="gramStart"/>
            <w:r w:rsidRPr="00B76D4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7" w:type="dxa"/>
          </w:tcPr>
          <w:p w:rsidR="003800C1" w:rsidRPr="00B76D46" w:rsidRDefault="003800C1" w:rsidP="00B76D46">
            <w:pPr>
              <w:ind w:right="-106" w:hanging="109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число</w:t>
            </w:r>
          </w:p>
          <w:p w:rsidR="003800C1" w:rsidRPr="00B76D46" w:rsidRDefault="003800C1" w:rsidP="00B76D46">
            <w:pPr>
              <w:ind w:right="-106" w:hanging="109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мероприятий на 1 КДУ</w:t>
            </w:r>
          </w:p>
          <w:p w:rsidR="003800C1" w:rsidRPr="00B76D46" w:rsidRDefault="003800C1" w:rsidP="00B76D46">
            <w:pPr>
              <w:ind w:right="-106" w:hanging="109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(ед.)</w:t>
            </w:r>
          </w:p>
        </w:tc>
        <w:tc>
          <w:tcPr>
            <w:tcW w:w="1560" w:type="dxa"/>
          </w:tcPr>
          <w:p w:rsidR="003800C1" w:rsidRPr="00B76D46" w:rsidRDefault="003800C1" w:rsidP="00B76D46">
            <w:pPr>
              <w:ind w:right="-105" w:firstLine="32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количество</w:t>
            </w:r>
          </w:p>
          <w:p w:rsidR="003800C1" w:rsidRPr="00B76D46" w:rsidRDefault="003800C1" w:rsidP="00B76D46">
            <w:pPr>
              <w:ind w:right="-105" w:firstLine="32"/>
              <w:jc w:val="both"/>
              <w:rPr>
                <w:sz w:val="22"/>
                <w:szCs w:val="22"/>
              </w:rPr>
            </w:pPr>
            <w:r w:rsidRPr="00B76D46">
              <w:rPr>
                <w:sz w:val="22"/>
                <w:szCs w:val="22"/>
              </w:rPr>
              <w:t>клубных формирований на 1 КДУ (ед.)</w:t>
            </w:r>
          </w:p>
        </w:tc>
      </w:tr>
      <w:tr w:rsidR="003800C1" w:rsidRPr="003800C1" w:rsidTr="00B76D46">
        <w:tc>
          <w:tcPr>
            <w:tcW w:w="966" w:type="dxa"/>
          </w:tcPr>
          <w:p w:rsidR="003800C1" w:rsidRPr="003800C1" w:rsidRDefault="003800C1" w:rsidP="00B76D46">
            <w:pPr>
              <w:ind w:firstLine="7"/>
              <w:jc w:val="both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27,8</w:t>
            </w:r>
          </w:p>
        </w:tc>
        <w:tc>
          <w:tcPr>
            <w:tcW w:w="1560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139,8</w:t>
            </w:r>
          </w:p>
        </w:tc>
        <w:tc>
          <w:tcPr>
            <w:tcW w:w="1701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10,6</w:t>
            </w:r>
          </w:p>
        </w:tc>
        <w:tc>
          <w:tcPr>
            <w:tcW w:w="1277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155</w:t>
            </w:r>
          </w:p>
        </w:tc>
        <w:tc>
          <w:tcPr>
            <w:tcW w:w="1560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8</w:t>
            </w:r>
          </w:p>
        </w:tc>
      </w:tr>
      <w:tr w:rsidR="003800C1" w:rsidRPr="003800C1" w:rsidTr="00B76D46">
        <w:tc>
          <w:tcPr>
            <w:tcW w:w="966" w:type="dxa"/>
          </w:tcPr>
          <w:p w:rsidR="003800C1" w:rsidRPr="003800C1" w:rsidRDefault="003800C1" w:rsidP="00B76D46">
            <w:pPr>
              <w:ind w:firstLine="7"/>
              <w:jc w:val="both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701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140,8</w:t>
            </w:r>
          </w:p>
        </w:tc>
        <w:tc>
          <w:tcPr>
            <w:tcW w:w="1701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169</w:t>
            </w:r>
          </w:p>
        </w:tc>
        <w:tc>
          <w:tcPr>
            <w:tcW w:w="1560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9</w:t>
            </w:r>
          </w:p>
        </w:tc>
      </w:tr>
      <w:tr w:rsidR="003800C1" w:rsidRPr="003800C1" w:rsidTr="00B76D46">
        <w:tc>
          <w:tcPr>
            <w:tcW w:w="966" w:type="dxa"/>
          </w:tcPr>
          <w:p w:rsidR="003800C1" w:rsidRPr="003800C1" w:rsidRDefault="003800C1" w:rsidP="00B76D46">
            <w:pPr>
              <w:ind w:firstLine="7"/>
              <w:jc w:val="both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27,0</w:t>
            </w:r>
          </w:p>
        </w:tc>
        <w:tc>
          <w:tcPr>
            <w:tcW w:w="1560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9,6</w:t>
            </w:r>
          </w:p>
        </w:tc>
        <w:tc>
          <w:tcPr>
            <w:tcW w:w="1277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175</w:t>
            </w:r>
          </w:p>
        </w:tc>
        <w:tc>
          <w:tcPr>
            <w:tcW w:w="1560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</w:rPr>
            </w:pPr>
            <w:r w:rsidRPr="003800C1">
              <w:rPr>
                <w:sz w:val="24"/>
                <w:szCs w:val="24"/>
              </w:rPr>
              <w:t>9</w:t>
            </w:r>
          </w:p>
        </w:tc>
      </w:tr>
    </w:tbl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>Число посетителей культурно-массовых мероприятий  (чел)</w:t>
      </w:r>
    </w:p>
    <w:tbl>
      <w:tblPr>
        <w:tblStyle w:val="af3"/>
        <w:tblW w:w="9356" w:type="dxa"/>
        <w:tblInd w:w="108" w:type="dxa"/>
        <w:tblLook w:val="01E0"/>
      </w:tblPr>
      <w:tblGrid>
        <w:gridCol w:w="3183"/>
        <w:gridCol w:w="3338"/>
        <w:gridCol w:w="2835"/>
      </w:tblGrid>
      <w:tr w:rsidR="003800C1" w:rsidRPr="003800C1" w:rsidTr="00B76D46">
        <w:tc>
          <w:tcPr>
            <w:tcW w:w="3183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3800C1">
              <w:rPr>
                <w:sz w:val="24"/>
                <w:szCs w:val="24"/>
              </w:rPr>
              <w:t>2013 год.</w:t>
            </w:r>
          </w:p>
        </w:tc>
        <w:tc>
          <w:tcPr>
            <w:tcW w:w="3338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3800C1">
              <w:rPr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3800C1" w:rsidRPr="003800C1" w:rsidRDefault="003800C1" w:rsidP="00B76D4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3800C1">
              <w:rPr>
                <w:sz w:val="24"/>
                <w:szCs w:val="24"/>
                <w:lang w:eastAsia="en-US"/>
              </w:rPr>
              <w:t>2015год</w:t>
            </w:r>
          </w:p>
        </w:tc>
      </w:tr>
      <w:tr w:rsidR="003800C1" w:rsidRPr="003800C1" w:rsidTr="00B76D46">
        <w:tc>
          <w:tcPr>
            <w:tcW w:w="3183" w:type="dxa"/>
          </w:tcPr>
          <w:p w:rsidR="003800C1" w:rsidRPr="003800C1" w:rsidRDefault="003800C1" w:rsidP="00B76D4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0C1">
              <w:rPr>
                <w:b/>
                <w:sz w:val="24"/>
                <w:szCs w:val="24"/>
              </w:rPr>
              <w:t>270500</w:t>
            </w:r>
          </w:p>
        </w:tc>
        <w:tc>
          <w:tcPr>
            <w:tcW w:w="3338" w:type="dxa"/>
          </w:tcPr>
          <w:p w:rsidR="003800C1" w:rsidRPr="003800C1" w:rsidRDefault="003800C1" w:rsidP="00B76D4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0C1">
              <w:rPr>
                <w:b/>
                <w:sz w:val="24"/>
                <w:szCs w:val="24"/>
                <w:lang w:eastAsia="en-US"/>
              </w:rPr>
              <w:t>273700</w:t>
            </w:r>
          </w:p>
        </w:tc>
        <w:tc>
          <w:tcPr>
            <w:tcW w:w="2835" w:type="dxa"/>
          </w:tcPr>
          <w:p w:rsidR="003800C1" w:rsidRPr="003800C1" w:rsidRDefault="003800C1" w:rsidP="00B76D4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800C1">
              <w:rPr>
                <w:b/>
                <w:sz w:val="24"/>
                <w:szCs w:val="24"/>
                <w:lang w:eastAsia="en-US"/>
              </w:rPr>
              <w:t>276800</w:t>
            </w:r>
          </w:p>
        </w:tc>
      </w:tr>
    </w:tbl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 xml:space="preserve">Звание «Народный (образцовый) самодеятельный коллектив Курганской области» имеют 10 коллективов,  ансамбль песни и танца «Зауралье» </w:t>
      </w:r>
      <w:proofErr w:type="spellStart"/>
      <w:r w:rsidRPr="003800C1">
        <w:rPr>
          <w:rFonts w:ascii="Times New Roman" w:hAnsi="Times New Roman" w:cs="Times New Roman"/>
          <w:sz w:val="24"/>
          <w:szCs w:val="24"/>
        </w:rPr>
        <w:t>Падеринского</w:t>
      </w:r>
      <w:proofErr w:type="spellEnd"/>
      <w:r w:rsidRPr="003800C1">
        <w:rPr>
          <w:rFonts w:ascii="Times New Roman" w:hAnsi="Times New Roman" w:cs="Times New Roman"/>
          <w:sz w:val="24"/>
          <w:szCs w:val="24"/>
        </w:rPr>
        <w:t xml:space="preserve"> сельского Дома культуры  имеет звание Заслуженный коллектив народного творчества Российской Федерации. </w:t>
      </w:r>
    </w:p>
    <w:p w:rsidR="003800C1" w:rsidRPr="003800C1" w:rsidRDefault="003800C1" w:rsidP="003800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800C1">
        <w:rPr>
          <w:rFonts w:ascii="Times New Roman" w:hAnsi="Times New Roman"/>
          <w:sz w:val="24"/>
          <w:szCs w:val="24"/>
        </w:rPr>
        <w:t xml:space="preserve"> В 2015  учебном году  учащи</w:t>
      </w:r>
      <w:r w:rsidR="00B76D46">
        <w:rPr>
          <w:rFonts w:ascii="Times New Roman" w:hAnsi="Times New Roman"/>
          <w:sz w:val="24"/>
          <w:szCs w:val="24"/>
        </w:rPr>
        <w:t>е</w:t>
      </w:r>
      <w:r w:rsidRPr="003800C1">
        <w:rPr>
          <w:rFonts w:ascii="Times New Roman" w:hAnsi="Times New Roman"/>
          <w:sz w:val="24"/>
          <w:szCs w:val="24"/>
        </w:rPr>
        <w:t>ся детских школ добились высоких результатов, участвуя в различных  конкурсах: результат</w:t>
      </w:r>
      <w:r w:rsidR="00B76D46">
        <w:rPr>
          <w:rFonts w:ascii="Times New Roman" w:hAnsi="Times New Roman"/>
          <w:sz w:val="24"/>
          <w:szCs w:val="24"/>
        </w:rPr>
        <w:t xml:space="preserve"> </w:t>
      </w:r>
      <w:r w:rsidRPr="003800C1">
        <w:rPr>
          <w:rFonts w:ascii="Times New Roman" w:hAnsi="Times New Roman"/>
          <w:sz w:val="24"/>
          <w:szCs w:val="24"/>
        </w:rPr>
        <w:t xml:space="preserve">- 106 лауреатов  и </w:t>
      </w:r>
      <w:proofErr w:type="gramStart"/>
      <w:r w:rsidRPr="003800C1">
        <w:rPr>
          <w:rFonts w:ascii="Times New Roman" w:hAnsi="Times New Roman"/>
          <w:sz w:val="24"/>
          <w:szCs w:val="24"/>
        </w:rPr>
        <w:t>дипломантов</w:t>
      </w:r>
      <w:proofErr w:type="gramEnd"/>
      <w:r w:rsidRPr="003800C1">
        <w:rPr>
          <w:rFonts w:ascii="Times New Roman" w:hAnsi="Times New Roman"/>
          <w:sz w:val="24"/>
          <w:szCs w:val="24"/>
        </w:rPr>
        <w:t xml:space="preserve">  междунар</w:t>
      </w:r>
      <w:r w:rsidR="00B76D46">
        <w:rPr>
          <w:rFonts w:ascii="Times New Roman" w:hAnsi="Times New Roman"/>
          <w:sz w:val="24"/>
          <w:szCs w:val="24"/>
        </w:rPr>
        <w:t>одных и всероссийских конкурсов,</w:t>
      </w:r>
      <w:r w:rsidRPr="003800C1">
        <w:rPr>
          <w:rFonts w:ascii="Times New Roman" w:hAnsi="Times New Roman"/>
          <w:sz w:val="24"/>
          <w:szCs w:val="24"/>
        </w:rPr>
        <w:t xml:space="preserve"> 13 учащихся  музыкальных школ стали лауреатами областной стипендии «Юные дарования</w:t>
      </w:r>
      <w:r w:rsidR="00B76D46">
        <w:rPr>
          <w:rFonts w:ascii="Times New Roman" w:hAnsi="Times New Roman"/>
          <w:sz w:val="24"/>
          <w:szCs w:val="24"/>
        </w:rPr>
        <w:t xml:space="preserve"> </w:t>
      </w:r>
      <w:r w:rsidRPr="003800C1">
        <w:rPr>
          <w:rFonts w:ascii="Times New Roman" w:hAnsi="Times New Roman"/>
          <w:sz w:val="24"/>
          <w:szCs w:val="24"/>
        </w:rPr>
        <w:t>-</w:t>
      </w:r>
      <w:r w:rsidR="00B76D46">
        <w:rPr>
          <w:rFonts w:ascii="Times New Roman" w:hAnsi="Times New Roman"/>
          <w:sz w:val="24"/>
          <w:szCs w:val="24"/>
        </w:rPr>
        <w:t xml:space="preserve"> </w:t>
      </w:r>
      <w:r w:rsidRPr="003800C1">
        <w:rPr>
          <w:rFonts w:ascii="Times New Roman" w:hAnsi="Times New Roman"/>
          <w:sz w:val="24"/>
          <w:szCs w:val="24"/>
        </w:rPr>
        <w:t>2015г.»</w:t>
      </w:r>
      <w:r w:rsidR="00B76D46">
        <w:rPr>
          <w:rFonts w:ascii="Times New Roman" w:hAnsi="Times New Roman"/>
          <w:sz w:val="24"/>
          <w:szCs w:val="24"/>
        </w:rPr>
        <w:t>.</w:t>
      </w:r>
    </w:p>
    <w:p w:rsidR="003800C1" w:rsidRPr="003800C1" w:rsidRDefault="003800C1" w:rsidP="003800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800C1">
        <w:rPr>
          <w:rFonts w:ascii="Times New Roman" w:hAnsi="Times New Roman"/>
          <w:sz w:val="24"/>
          <w:szCs w:val="24"/>
        </w:rPr>
        <w:t xml:space="preserve">Оркестр духовых инструментов «Академия» </w:t>
      </w:r>
      <w:proofErr w:type="spellStart"/>
      <w:r w:rsidRPr="003800C1">
        <w:rPr>
          <w:rFonts w:ascii="Times New Roman" w:hAnsi="Times New Roman"/>
          <w:sz w:val="24"/>
          <w:szCs w:val="24"/>
        </w:rPr>
        <w:t>Лесниковской</w:t>
      </w:r>
      <w:proofErr w:type="spellEnd"/>
      <w:r w:rsidRPr="003800C1">
        <w:rPr>
          <w:rFonts w:ascii="Times New Roman" w:hAnsi="Times New Roman"/>
          <w:sz w:val="24"/>
          <w:szCs w:val="24"/>
        </w:rPr>
        <w:t xml:space="preserve"> ДМШ в 2015г году удостоен звания «Заслуженный коллектив народного творчества Курганской области». </w:t>
      </w:r>
      <w:proofErr w:type="spellStart"/>
      <w:r w:rsidRPr="003800C1">
        <w:rPr>
          <w:rFonts w:ascii="Times New Roman" w:hAnsi="Times New Roman"/>
          <w:sz w:val="24"/>
          <w:szCs w:val="24"/>
        </w:rPr>
        <w:t>Лесниковская</w:t>
      </w:r>
      <w:proofErr w:type="spellEnd"/>
      <w:r w:rsidRPr="003800C1">
        <w:rPr>
          <w:rFonts w:ascii="Times New Roman" w:hAnsi="Times New Roman"/>
          <w:sz w:val="24"/>
          <w:szCs w:val="24"/>
        </w:rPr>
        <w:t xml:space="preserve"> ДМШ в первом полугодии 2015 года участвовала в Общероссийском конкурсе и в числе победителей  вошла  в Реестр «50 лучших школ России</w:t>
      </w:r>
      <w:proofErr w:type="gramStart"/>
      <w:r w:rsidRPr="003800C1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3800C1">
        <w:rPr>
          <w:rFonts w:ascii="Times New Roman" w:hAnsi="Times New Roman"/>
          <w:sz w:val="24"/>
          <w:szCs w:val="24"/>
        </w:rPr>
        <w:t>»</w:t>
      </w:r>
      <w:r w:rsidR="00B76D46">
        <w:rPr>
          <w:rFonts w:ascii="Times New Roman" w:hAnsi="Times New Roman"/>
          <w:sz w:val="24"/>
          <w:szCs w:val="24"/>
        </w:rPr>
        <w:t>.</w:t>
      </w:r>
    </w:p>
    <w:p w:rsidR="003800C1" w:rsidRPr="003800C1" w:rsidRDefault="003800C1" w:rsidP="003800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800C1">
        <w:rPr>
          <w:rFonts w:ascii="Times New Roman" w:hAnsi="Times New Roman"/>
          <w:sz w:val="24"/>
          <w:szCs w:val="24"/>
        </w:rPr>
        <w:t xml:space="preserve">Достижением 2015 года  стало победное  участие  3-х музыкальных школ в областном конкурсе  на «Лучшее сельское муниципальное учреждение культуры»  Введенская, </w:t>
      </w:r>
      <w:proofErr w:type="spellStart"/>
      <w:r w:rsidRPr="003800C1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3800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00C1">
        <w:rPr>
          <w:rFonts w:ascii="Times New Roman" w:hAnsi="Times New Roman"/>
          <w:sz w:val="24"/>
          <w:szCs w:val="24"/>
        </w:rPr>
        <w:t>Лесниковская</w:t>
      </w:r>
      <w:proofErr w:type="spellEnd"/>
      <w:r w:rsidRPr="003800C1">
        <w:rPr>
          <w:rFonts w:ascii="Times New Roman" w:hAnsi="Times New Roman"/>
          <w:sz w:val="24"/>
          <w:szCs w:val="24"/>
        </w:rPr>
        <w:t xml:space="preserve">  детские музыкальные школы получили поддержку из федерального бюджета по 100 тыс. руб. каждая. 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 xml:space="preserve">В 2015г </w:t>
      </w:r>
      <w:proofErr w:type="spellStart"/>
      <w:r w:rsidRPr="003800C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3800C1">
        <w:rPr>
          <w:rFonts w:ascii="Times New Roman" w:hAnsi="Times New Roman" w:cs="Times New Roman"/>
          <w:sz w:val="24"/>
          <w:szCs w:val="24"/>
        </w:rPr>
        <w:t xml:space="preserve"> клубная система награждена Почетной грамотой Областной Думы и премией 60</w:t>
      </w:r>
      <w:r w:rsidR="00B76D46">
        <w:rPr>
          <w:rFonts w:ascii="Times New Roman" w:hAnsi="Times New Roman" w:cs="Times New Roman"/>
          <w:sz w:val="24"/>
          <w:szCs w:val="24"/>
        </w:rPr>
        <w:t xml:space="preserve"> </w:t>
      </w:r>
      <w:r w:rsidRPr="003800C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800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00C1">
        <w:rPr>
          <w:rFonts w:ascii="Times New Roman" w:hAnsi="Times New Roman" w:cs="Times New Roman"/>
          <w:sz w:val="24"/>
          <w:szCs w:val="24"/>
        </w:rPr>
        <w:t>уб.</w:t>
      </w:r>
      <w:r w:rsidR="00B76D46">
        <w:rPr>
          <w:rFonts w:ascii="Times New Roman" w:hAnsi="Times New Roman" w:cs="Times New Roman"/>
          <w:sz w:val="24"/>
          <w:szCs w:val="24"/>
        </w:rPr>
        <w:t>,</w:t>
      </w:r>
      <w:r w:rsidRPr="003800C1">
        <w:rPr>
          <w:rFonts w:ascii="Times New Roman" w:hAnsi="Times New Roman" w:cs="Times New Roman"/>
          <w:sz w:val="24"/>
          <w:szCs w:val="24"/>
        </w:rPr>
        <w:t xml:space="preserve"> Садовский сельский Дом культуры принимал участие в областном конкурсе   «Лучшее сельское муниципальное учреждение культуры» и вошел в число победителей, получив премию в сумме 100</w:t>
      </w:r>
      <w:r w:rsidR="00B76D46">
        <w:rPr>
          <w:rFonts w:ascii="Times New Roman" w:hAnsi="Times New Roman" w:cs="Times New Roman"/>
          <w:sz w:val="24"/>
          <w:szCs w:val="24"/>
        </w:rPr>
        <w:t xml:space="preserve"> </w:t>
      </w:r>
      <w:r w:rsidRPr="003800C1">
        <w:rPr>
          <w:rFonts w:ascii="Times New Roman" w:hAnsi="Times New Roman" w:cs="Times New Roman"/>
          <w:sz w:val="24"/>
          <w:szCs w:val="24"/>
        </w:rPr>
        <w:t xml:space="preserve">тыс.р. </w:t>
      </w:r>
    </w:p>
    <w:p w:rsidR="003800C1" w:rsidRPr="003800C1" w:rsidRDefault="003800C1" w:rsidP="00B76D46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3800C1">
        <w:rPr>
          <w:rFonts w:ascii="Times New Roman" w:hAnsi="Times New Roman"/>
        </w:rPr>
        <w:t>В 2015г.  на улучшение материально-технической базы сельских учреждений    культуры и обеспечение их пожарной безопасности  направлено 2050,0 тыс. руб.</w:t>
      </w:r>
      <w:r w:rsidR="00B76D46">
        <w:rPr>
          <w:rFonts w:ascii="Times New Roman" w:hAnsi="Times New Roman"/>
        </w:rPr>
        <w:t xml:space="preserve"> </w:t>
      </w:r>
      <w:r w:rsidRPr="003800C1">
        <w:rPr>
          <w:rFonts w:ascii="Times New Roman" w:hAnsi="Times New Roman"/>
        </w:rPr>
        <w:t>из бюджетов различного уровня. В 2015 году выполнены работы по ремонту в 32 учреждениях  на сумму 3460,6 тыс</w:t>
      </w:r>
      <w:proofErr w:type="gramStart"/>
      <w:r w:rsidRPr="003800C1">
        <w:rPr>
          <w:rFonts w:ascii="Times New Roman" w:hAnsi="Times New Roman"/>
        </w:rPr>
        <w:t>.р</w:t>
      </w:r>
      <w:proofErr w:type="gramEnd"/>
      <w:r w:rsidRPr="003800C1">
        <w:rPr>
          <w:rFonts w:ascii="Times New Roman" w:hAnsi="Times New Roman"/>
        </w:rPr>
        <w:t>уб.</w:t>
      </w:r>
    </w:p>
    <w:p w:rsidR="003800C1" w:rsidRPr="003800C1" w:rsidRDefault="003800C1" w:rsidP="00B76D46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3800C1">
        <w:rPr>
          <w:rFonts w:ascii="Times New Roman" w:hAnsi="Times New Roman"/>
        </w:rPr>
        <w:t>Вопросы улучшения материально-технической базы сельских учреждений культуры  остаются приоритетными и на 2016год, 12 зданий или 18% требуют капитального и текущих ремонтов</w:t>
      </w:r>
      <w:proofErr w:type="gramStart"/>
      <w:r w:rsidRPr="003800C1">
        <w:rPr>
          <w:rFonts w:ascii="Times New Roman" w:hAnsi="Times New Roman"/>
        </w:rPr>
        <w:t xml:space="preserve">., </w:t>
      </w:r>
      <w:proofErr w:type="gramEnd"/>
      <w:r w:rsidRPr="003800C1">
        <w:rPr>
          <w:rFonts w:ascii="Times New Roman" w:hAnsi="Times New Roman"/>
        </w:rPr>
        <w:t>в т.ч.</w:t>
      </w:r>
    </w:p>
    <w:p w:rsidR="003800C1" w:rsidRPr="003800C1" w:rsidRDefault="003800C1" w:rsidP="00B7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 xml:space="preserve">- требуется реконструкция Введенской детской музыкальной  школы;  ремонт </w:t>
      </w:r>
      <w:proofErr w:type="spellStart"/>
      <w:r w:rsidRPr="003800C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800C1">
        <w:rPr>
          <w:rFonts w:ascii="Times New Roman" w:hAnsi="Times New Roman" w:cs="Times New Roman"/>
          <w:sz w:val="24"/>
          <w:szCs w:val="24"/>
        </w:rPr>
        <w:t xml:space="preserve"> районного Дома культуры, Ровненского СДК, ремонт Центральной библиотеки и детской музыкальной школы </w:t>
      </w:r>
      <w:proofErr w:type="gramStart"/>
      <w:r w:rsidRPr="003800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0C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800C1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3800C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800C1" w:rsidRPr="003800C1" w:rsidRDefault="00CB65F7" w:rsidP="00B7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3800C1" w:rsidRPr="003800C1">
        <w:rPr>
          <w:rFonts w:ascii="Times New Roman" w:hAnsi="Times New Roman" w:cs="Times New Roman"/>
          <w:sz w:val="24"/>
          <w:szCs w:val="24"/>
        </w:rPr>
        <w:t xml:space="preserve">риобретение помещений для организации досуга и обеспечения услугами учреждений культуры населения сел </w:t>
      </w:r>
      <w:proofErr w:type="spellStart"/>
      <w:r w:rsidR="003800C1" w:rsidRPr="003800C1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3800C1" w:rsidRPr="003800C1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3800C1" w:rsidRPr="003800C1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3800C1" w:rsidRPr="00380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>- требует обновления  в размере 50% компьютерный парк сельских библиотек.</w:t>
      </w:r>
    </w:p>
    <w:p w:rsidR="003800C1" w:rsidRPr="003800C1" w:rsidRDefault="003800C1" w:rsidP="003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C1">
        <w:rPr>
          <w:rFonts w:ascii="Times New Roman" w:hAnsi="Times New Roman" w:cs="Times New Roman"/>
          <w:sz w:val="24"/>
          <w:szCs w:val="24"/>
        </w:rPr>
        <w:t xml:space="preserve">С целью получения областной финансовой поддержки Отделом культуры   подготовлена  заявка в адресную инвестиционную программу Курганской области на 2017 год на реконструкцию Введенской ДМШ (сметная стоимость - 15 595,9 тыс. рублей). </w:t>
      </w:r>
    </w:p>
    <w:p w:rsidR="00CB65F7" w:rsidRDefault="00CB65F7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BAA" w:rsidRDefault="00FC6BAA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C" w:rsidRPr="00822145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45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 и спорт</w:t>
      </w:r>
    </w:p>
    <w:p w:rsidR="0029288C" w:rsidRPr="00822145" w:rsidRDefault="0029288C" w:rsidP="00B50993">
      <w:pPr>
        <w:pStyle w:val="ConsPlusNonformat"/>
        <w:widowControl/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847" w:rsidRPr="00822145" w:rsidRDefault="00105847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45">
        <w:rPr>
          <w:rFonts w:ascii="Times New Roman" w:hAnsi="Times New Roman" w:cs="Times New Roman"/>
          <w:sz w:val="24"/>
          <w:szCs w:val="24"/>
        </w:rPr>
        <w:t xml:space="preserve">Органом  управления в сфере физической культуры и спорта в </w:t>
      </w:r>
      <w:proofErr w:type="spellStart"/>
      <w:r w:rsidRPr="00822145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822145">
        <w:rPr>
          <w:rFonts w:ascii="Times New Roman" w:hAnsi="Times New Roman" w:cs="Times New Roman"/>
          <w:sz w:val="24"/>
          <w:szCs w:val="24"/>
        </w:rPr>
        <w:t xml:space="preserve"> районе является Комитет по физической культуре и спорту </w:t>
      </w:r>
      <w:proofErr w:type="spellStart"/>
      <w:r w:rsidRPr="0082214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22145">
        <w:rPr>
          <w:rFonts w:ascii="Times New Roman" w:hAnsi="Times New Roman" w:cs="Times New Roman"/>
          <w:sz w:val="24"/>
          <w:szCs w:val="24"/>
        </w:rPr>
        <w:t xml:space="preserve"> района. Подразделением является </w:t>
      </w:r>
      <w:proofErr w:type="spellStart"/>
      <w:r w:rsidRPr="00822145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822145">
        <w:rPr>
          <w:rFonts w:ascii="Times New Roman" w:hAnsi="Times New Roman" w:cs="Times New Roman"/>
          <w:sz w:val="24"/>
          <w:szCs w:val="24"/>
        </w:rPr>
        <w:t xml:space="preserve"> ДЮСШ.</w:t>
      </w:r>
    </w:p>
    <w:p w:rsidR="00105847" w:rsidRPr="00822145" w:rsidRDefault="00105847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45">
        <w:rPr>
          <w:rFonts w:ascii="Times New Roman" w:hAnsi="Times New Roman" w:cs="Times New Roman"/>
          <w:sz w:val="24"/>
          <w:szCs w:val="24"/>
        </w:rPr>
        <w:t xml:space="preserve">По данным статистической отчетности в районе ведут работу </w:t>
      </w:r>
      <w:r w:rsidR="00BD1189" w:rsidRPr="00822145">
        <w:rPr>
          <w:rFonts w:ascii="Times New Roman" w:hAnsi="Times New Roman" w:cs="Times New Roman"/>
          <w:sz w:val="24"/>
          <w:szCs w:val="24"/>
        </w:rPr>
        <w:t>92</w:t>
      </w:r>
      <w:r w:rsidRPr="00822145">
        <w:rPr>
          <w:rFonts w:ascii="Times New Roman" w:hAnsi="Times New Roman" w:cs="Times New Roman"/>
          <w:sz w:val="24"/>
          <w:szCs w:val="24"/>
        </w:rPr>
        <w:t xml:space="preserve"> штатный         работник физической культуры и спорта. </w:t>
      </w:r>
    </w:p>
    <w:p w:rsidR="00105847" w:rsidRPr="00822145" w:rsidRDefault="00105847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45">
        <w:rPr>
          <w:rFonts w:ascii="Times New Roman" w:hAnsi="Times New Roman" w:cs="Times New Roman"/>
          <w:sz w:val="24"/>
          <w:szCs w:val="24"/>
        </w:rPr>
        <w:t xml:space="preserve">В дошкольных учреждениях физкультурную работу ведут 17 штатных работников, а также воспитатели. В общеобразовательных учреждениях работу ведут </w:t>
      </w:r>
      <w:r w:rsidR="00BD1189" w:rsidRPr="00822145">
        <w:rPr>
          <w:rFonts w:ascii="Times New Roman" w:hAnsi="Times New Roman" w:cs="Times New Roman"/>
          <w:sz w:val="24"/>
          <w:szCs w:val="24"/>
        </w:rPr>
        <w:t>37</w:t>
      </w:r>
      <w:r w:rsidRPr="00822145">
        <w:rPr>
          <w:rFonts w:ascii="Times New Roman" w:hAnsi="Times New Roman" w:cs="Times New Roman"/>
          <w:sz w:val="24"/>
          <w:szCs w:val="24"/>
        </w:rPr>
        <w:t xml:space="preserve"> штатны</w:t>
      </w:r>
      <w:r w:rsidR="00730202" w:rsidRPr="00822145">
        <w:rPr>
          <w:rFonts w:ascii="Times New Roman" w:hAnsi="Times New Roman" w:cs="Times New Roman"/>
          <w:sz w:val="24"/>
          <w:szCs w:val="24"/>
        </w:rPr>
        <w:t xml:space="preserve">х </w:t>
      </w:r>
      <w:r w:rsidRPr="00822145">
        <w:rPr>
          <w:rFonts w:ascii="Times New Roman" w:hAnsi="Times New Roman" w:cs="Times New Roman"/>
          <w:sz w:val="24"/>
          <w:szCs w:val="24"/>
        </w:rPr>
        <w:t>работника.</w:t>
      </w:r>
    </w:p>
    <w:p w:rsidR="00105847" w:rsidRPr="00822145" w:rsidRDefault="00105847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45">
        <w:rPr>
          <w:rFonts w:ascii="Times New Roman" w:hAnsi="Times New Roman" w:cs="Times New Roman"/>
          <w:sz w:val="24"/>
          <w:szCs w:val="24"/>
        </w:rPr>
        <w:t xml:space="preserve">В районе имеется 1 высшее учебное заведение ФГБОУ ВПО «Курганская государственная сельскохозяйственная академия имени Т.С.Мальцева» и 1 ПТУ. Физкультурную работу ведут </w:t>
      </w:r>
      <w:r w:rsidR="00BD1189" w:rsidRPr="00822145">
        <w:rPr>
          <w:rFonts w:ascii="Times New Roman" w:hAnsi="Times New Roman" w:cs="Times New Roman"/>
          <w:sz w:val="24"/>
          <w:szCs w:val="24"/>
        </w:rPr>
        <w:t>5</w:t>
      </w:r>
      <w:r w:rsidRPr="00822145">
        <w:rPr>
          <w:rFonts w:ascii="Times New Roman" w:hAnsi="Times New Roman" w:cs="Times New Roman"/>
          <w:sz w:val="24"/>
          <w:szCs w:val="24"/>
        </w:rPr>
        <w:t xml:space="preserve"> преподавателей в КГСХА и 1 в </w:t>
      </w:r>
      <w:proofErr w:type="spellStart"/>
      <w:r w:rsidRPr="00822145">
        <w:rPr>
          <w:rFonts w:ascii="Times New Roman" w:hAnsi="Times New Roman" w:cs="Times New Roman"/>
          <w:sz w:val="24"/>
          <w:szCs w:val="24"/>
        </w:rPr>
        <w:t>Шмаковском</w:t>
      </w:r>
      <w:proofErr w:type="spellEnd"/>
      <w:r w:rsidRPr="00822145">
        <w:rPr>
          <w:rFonts w:ascii="Times New Roman" w:hAnsi="Times New Roman" w:cs="Times New Roman"/>
          <w:sz w:val="24"/>
          <w:szCs w:val="24"/>
        </w:rPr>
        <w:t xml:space="preserve"> ПУ. </w:t>
      </w:r>
    </w:p>
    <w:p w:rsidR="00822145" w:rsidRPr="00822145" w:rsidRDefault="00822145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4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22145">
        <w:rPr>
          <w:rFonts w:ascii="Times New Roman" w:hAnsi="Times New Roman" w:cs="Times New Roman"/>
          <w:sz w:val="24"/>
          <w:szCs w:val="24"/>
        </w:rPr>
        <w:t>Кетогвской</w:t>
      </w:r>
      <w:proofErr w:type="spellEnd"/>
      <w:r w:rsidRPr="00822145">
        <w:rPr>
          <w:rFonts w:ascii="Times New Roman" w:hAnsi="Times New Roman" w:cs="Times New Roman"/>
          <w:sz w:val="24"/>
          <w:szCs w:val="24"/>
        </w:rPr>
        <w:t xml:space="preserve"> ДЮСШ проходят обучение 545 детей, в 39 группах по 10-ти видам спорта.</w:t>
      </w:r>
    </w:p>
    <w:p w:rsidR="00105847" w:rsidRPr="00157DF3" w:rsidRDefault="00105847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F3">
        <w:rPr>
          <w:rFonts w:ascii="Times New Roman" w:hAnsi="Times New Roman" w:cs="Times New Roman"/>
          <w:sz w:val="24"/>
          <w:szCs w:val="24"/>
        </w:rPr>
        <w:t xml:space="preserve">Работники предприятий и организаций </w:t>
      </w:r>
      <w:proofErr w:type="spellStart"/>
      <w:r w:rsidRPr="00157DF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57DF3">
        <w:rPr>
          <w:rFonts w:ascii="Times New Roman" w:hAnsi="Times New Roman" w:cs="Times New Roman"/>
          <w:sz w:val="24"/>
          <w:szCs w:val="24"/>
        </w:rPr>
        <w:t xml:space="preserve"> района активно участвуют в массовых мероприятиях, таких как </w:t>
      </w:r>
      <w:proofErr w:type="gramStart"/>
      <w:r w:rsidRPr="00157DF3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157DF3">
        <w:rPr>
          <w:rFonts w:ascii="Times New Roman" w:hAnsi="Times New Roman" w:cs="Times New Roman"/>
          <w:sz w:val="24"/>
          <w:szCs w:val="24"/>
        </w:rPr>
        <w:t xml:space="preserve"> села, День молодежи, Рождественские турниры по н. теннису и волейболу.</w:t>
      </w:r>
    </w:p>
    <w:p w:rsidR="00105847" w:rsidRPr="00157DF3" w:rsidRDefault="00105847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DF3">
        <w:rPr>
          <w:rFonts w:ascii="Times New Roman" w:hAnsi="Times New Roman" w:cs="Times New Roman"/>
          <w:sz w:val="24"/>
          <w:szCs w:val="24"/>
        </w:rPr>
        <w:t xml:space="preserve">Удельный вес населения систематически занимающегося физической культурой и спортом в </w:t>
      </w:r>
      <w:proofErr w:type="spellStart"/>
      <w:r w:rsidRPr="00157DF3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157DF3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Pr="00157D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7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DF3">
        <w:rPr>
          <w:rFonts w:ascii="Times New Roman" w:hAnsi="Times New Roman" w:cs="Times New Roman"/>
          <w:sz w:val="24"/>
          <w:szCs w:val="24"/>
        </w:rPr>
        <w:t>сравнением</w:t>
      </w:r>
      <w:proofErr w:type="gramEnd"/>
      <w:r w:rsidRPr="00157DF3">
        <w:rPr>
          <w:rFonts w:ascii="Times New Roman" w:hAnsi="Times New Roman" w:cs="Times New Roman"/>
          <w:sz w:val="24"/>
          <w:szCs w:val="24"/>
        </w:rPr>
        <w:t xml:space="preserve"> с 201</w:t>
      </w:r>
      <w:r w:rsidR="00157DF3" w:rsidRPr="00157DF3">
        <w:rPr>
          <w:rFonts w:ascii="Times New Roman" w:hAnsi="Times New Roman" w:cs="Times New Roman"/>
          <w:sz w:val="24"/>
          <w:szCs w:val="24"/>
        </w:rPr>
        <w:t>4</w:t>
      </w:r>
      <w:r w:rsidRPr="00157DF3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730202" w:rsidRPr="00157DF3">
        <w:rPr>
          <w:rFonts w:ascii="Times New Roman" w:hAnsi="Times New Roman" w:cs="Times New Roman"/>
          <w:sz w:val="24"/>
          <w:szCs w:val="24"/>
        </w:rPr>
        <w:t>вырос</w:t>
      </w:r>
      <w:r w:rsidRPr="00157DF3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157DF3" w:rsidRPr="00157DF3">
        <w:rPr>
          <w:rFonts w:ascii="Times New Roman" w:hAnsi="Times New Roman" w:cs="Times New Roman"/>
          <w:sz w:val="24"/>
          <w:szCs w:val="24"/>
        </w:rPr>
        <w:t>31,4</w:t>
      </w:r>
      <w:r w:rsidRPr="00157DF3">
        <w:rPr>
          <w:rFonts w:ascii="Times New Roman" w:hAnsi="Times New Roman" w:cs="Times New Roman"/>
          <w:sz w:val="24"/>
          <w:szCs w:val="24"/>
        </w:rPr>
        <w:t>%</w:t>
      </w:r>
      <w:r w:rsidR="00157DF3" w:rsidRPr="00157DF3">
        <w:rPr>
          <w:rFonts w:ascii="Times New Roman" w:hAnsi="Times New Roman" w:cs="Times New Roman"/>
          <w:sz w:val="24"/>
          <w:szCs w:val="24"/>
        </w:rPr>
        <w:t xml:space="preserve"> (в 2014 году -30,2%)</w:t>
      </w:r>
      <w:r w:rsidRPr="00157DF3">
        <w:rPr>
          <w:rFonts w:ascii="Times New Roman" w:hAnsi="Times New Roman" w:cs="Times New Roman"/>
          <w:sz w:val="24"/>
          <w:szCs w:val="24"/>
        </w:rPr>
        <w:t>. В  настоящее время в районе организованно занимаются физической культурой и спортом 18379</w:t>
      </w:r>
      <w:r w:rsidRPr="0015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DF3">
        <w:rPr>
          <w:rFonts w:ascii="Times New Roman" w:hAnsi="Times New Roman" w:cs="Times New Roman"/>
          <w:sz w:val="24"/>
          <w:szCs w:val="24"/>
        </w:rPr>
        <w:t>человек.</w:t>
      </w:r>
      <w:r w:rsidRPr="0015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DF3">
        <w:rPr>
          <w:rFonts w:ascii="Times New Roman" w:hAnsi="Times New Roman" w:cs="Times New Roman"/>
          <w:sz w:val="24"/>
          <w:szCs w:val="24"/>
        </w:rPr>
        <w:t>Увеличение  количества занимающихся по району вызвано увеличением количества воспитанников дошкольных учреждений, а также увеличением количества занимающихся в учреждениях образования.</w:t>
      </w:r>
    </w:p>
    <w:p w:rsidR="00105847" w:rsidRPr="00157DF3" w:rsidRDefault="00105847" w:rsidP="007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F3">
        <w:rPr>
          <w:rFonts w:ascii="Times New Roman" w:hAnsi="Times New Roman" w:cs="Times New Roman"/>
          <w:sz w:val="24"/>
          <w:szCs w:val="24"/>
        </w:rPr>
        <w:t xml:space="preserve">В числе нерешенных проблем являются недостаточная мотивация населения к занятиям физкультурой и спортом,  хотя количество занимающихся увеличилось. Намеченное строительство </w:t>
      </w:r>
      <w:proofErr w:type="spellStart"/>
      <w:r w:rsidRPr="00157DF3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157DF3">
        <w:rPr>
          <w:rFonts w:ascii="Times New Roman" w:hAnsi="Times New Roman" w:cs="Times New Roman"/>
          <w:sz w:val="24"/>
          <w:szCs w:val="24"/>
        </w:rPr>
        <w:t xml:space="preserve"> переносится на 201</w:t>
      </w:r>
      <w:r w:rsidR="00157DF3" w:rsidRPr="00157DF3">
        <w:rPr>
          <w:rFonts w:ascii="Times New Roman" w:hAnsi="Times New Roman" w:cs="Times New Roman"/>
          <w:sz w:val="24"/>
          <w:szCs w:val="24"/>
        </w:rPr>
        <w:t xml:space="preserve">7 год, не закончена реконструкция </w:t>
      </w:r>
      <w:proofErr w:type="spellStart"/>
      <w:r w:rsidR="00157DF3" w:rsidRPr="00157DF3">
        <w:rPr>
          <w:rFonts w:ascii="Times New Roman" w:hAnsi="Times New Roman" w:cs="Times New Roman"/>
          <w:sz w:val="24"/>
          <w:szCs w:val="24"/>
        </w:rPr>
        <w:t>стадиога</w:t>
      </w:r>
      <w:proofErr w:type="spellEnd"/>
      <w:r w:rsidR="00157DF3" w:rsidRPr="00157D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7DF3" w:rsidRPr="00157D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7DF3" w:rsidRPr="00157D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57DF3" w:rsidRPr="00157DF3">
        <w:rPr>
          <w:rFonts w:ascii="Times New Roman" w:hAnsi="Times New Roman" w:cs="Times New Roman"/>
          <w:sz w:val="24"/>
          <w:szCs w:val="24"/>
        </w:rPr>
        <w:t>етово</w:t>
      </w:r>
      <w:proofErr w:type="spellEnd"/>
      <w:r w:rsidR="00157DF3" w:rsidRPr="00157DF3">
        <w:rPr>
          <w:rFonts w:ascii="Times New Roman" w:hAnsi="Times New Roman" w:cs="Times New Roman"/>
          <w:sz w:val="24"/>
          <w:szCs w:val="24"/>
        </w:rPr>
        <w:t>.</w:t>
      </w:r>
      <w:r w:rsidRPr="00157DF3">
        <w:rPr>
          <w:rFonts w:ascii="Times New Roman" w:hAnsi="Times New Roman" w:cs="Times New Roman"/>
          <w:sz w:val="24"/>
          <w:szCs w:val="24"/>
        </w:rPr>
        <w:t xml:space="preserve"> Ощущается нехватка спортивного инвентаря и оборудования в учреждениях образования и на предприятиях. Недостаточное финансирование спортивно-массовых мероприятий, особенно среди школьников. Также не хватает штатных физкультурных работников в учреждениях, предприятиях и организациях. </w:t>
      </w:r>
    </w:p>
    <w:p w:rsidR="004920E2" w:rsidRPr="00CD58D4" w:rsidRDefault="004920E2" w:rsidP="00B5099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A73588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8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жильём</w:t>
      </w:r>
      <w:r w:rsidR="000F3DBC" w:rsidRPr="00A73588">
        <w:rPr>
          <w:rFonts w:ascii="Times New Roman" w:hAnsi="Times New Roman" w:cs="Times New Roman"/>
          <w:b/>
          <w:sz w:val="24"/>
          <w:szCs w:val="24"/>
        </w:rPr>
        <w:t>.</w:t>
      </w:r>
    </w:p>
    <w:p w:rsidR="00842397" w:rsidRPr="00CD58D4" w:rsidRDefault="00842397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3588" w:rsidRPr="005E07C1" w:rsidRDefault="00A73588" w:rsidP="005E07C1">
      <w:pPr>
        <w:pStyle w:val="ConsPlusNonformat"/>
        <w:widowControl/>
        <w:ind w:right="-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C1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5E07C1">
        <w:rPr>
          <w:rFonts w:ascii="Times New Roman" w:eastAsia="Calibri" w:hAnsi="Times New Roman" w:cs="Times New Roman"/>
          <w:sz w:val="24"/>
          <w:szCs w:val="24"/>
        </w:rPr>
        <w:t xml:space="preserve">введено в эксплуатацию жилой площади 48556 кв.м., что в 1,8 раза больше запланированного (27000кв.м.). </w:t>
      </w:r>
    </w:p>
    <w:p w:rsidR="00FB7F77" w:rsidRPr="00A77508" w:rsidRDefault="00FB7F77" w:rsidP="008E6234">
      <w:pPr>
        <w:pStyle w:val="a3"/>
        <w:spacing w:before="0" w:beforeAutospacing="0" w:after="0" w:afterAutospacing="0"/>
        <w:ind w:firstLine="708"/>
        <w:jc w:val="both"/>
      </w:pPr>
      <w:r w:rsidRPr="00A77508">
        <w:rPr>
          <w:b/>
        </w:rPr>
        <w:t xml:space="preserve">Площадь земельных участков, предоставленных для строительства в расчете на 10 тыс. человек </w:t>
      </w:r>
      <w:r w:rsidRPr="00A77508">
        <w:t xml:space="preserve"> населения в  201</w:t>
      </w:r>
      <w:r w:rsidR="00A77508" w:rsidRPr="00A77508">
        <w:t>5</w:t>
      </w:r>
      <w:r w:rsidRPr="00A77508">
        <w:t xml:space="preserve"> году составила </w:t>
      </w:r>
      <w:r w:rsidR="00A77508" w:rsidRPr="00A77508">
        <w:t>16,24</w:t>
      </w:r>
      <w:r w:rsidRPr="00A77508">
        <w:t xml:space="preserve"> га, в том числе земельных участков предоставленных для жилищного строительства, индивидуального жилищного строительства </w:t>
      </w:r>
      <w:r w:rsidR="00A77508" w:rsidRPr="00A77508">
        <w:t>15,81</w:t>
      </w:r>
      <w:r w:rsidRPr="00A77508">
        <w:t xml:space="preserve"> га. Площадь предоставленных земельных участков для строительства всего по сравнению с 201</w:t>
      </w:r>
      <w:r w:rsidR="00A77508" w:rsidRPr="00A77508">
        <w:t>4</w:t>
      </w:r>
      <w:r w:rsidRPr="00A77508">
        <w:t xml:space="preserve"> годом </w:t>
      </w:r>
      <w:r w:rsidR="00A77508" w:rsidRPr="00A77508">
        <w:t>увеличилась</w:t>
      </w:r>
      <w:r w:rsidRPr="00A77508">
        <w:t xml:space="preserve"> на </w:t>
      </w:r>
      <w:r w:rsidR="00A77508" w:rsidRPr="00A77508">
        <w:t>1,76</w:t>
      </w:r>
      <w:r w:rsidRPr="00A77508">
        <w:t xml:space="preserve"> га, в том числе для жилищного строительства </w:t>
      </w:r>
      <w:r w:rsidR="00A77508" w:rsidRPr="00A77508">
        <w:t>увеличилась</w:t>
      </w:r>
      <w:r w:rsidRPr="00A77508">
        <w:t xml:space="preserve"> на </w:t>
      </w:r>
      <w:r w:rsidR="00A77508" w:rsidRPr="00A77508">
        <w:t>4,66</w:t>
      </w:r>
      <w:r w:rsidRPr="00A77508">
        <w:t xml:space="preserve"> га. </w:t>
      </w:r>
      <w:r w:rsidR="00A77508" w:rsidRPr="00A77508">
        <w:t>Увеличение</w:t>
      </w:r>
      <w:r w:rsidRPr="00A77508">
        <w:t xml:space="preserve"> площади земельных участков произошло из-за </w:t>
      </w:r>
      <w:r w:rsidR="00A77508" w:rsidRPr="00A77508">
        <w:t>увеличения</w:t>
      </w:r>
      <w:r w:rsidRPr="00A77508">
        <w:t xml:space="preserve"> спроса физических и юридических лиц, в связи с освоением </w:t>
      </w:r>
      <w:proofErr w:type="gramStart"/>
      <w:r w:rsidRPr="00A77508">
        <w:t>более экономически</w:t>
      </w:r>
      <w:proofErr w:type="gramEnd"/>
      <w:r w:rsidRPr="00A77508">
        <w:t xml:space="preserve"> привл</w:t>
      </w:r>
      <w:r w:rsidR="00A77508" w:rsidRPr="00A77508">
        <w:t>екательных земельных участков.</w:t>
      </w:r>
    </w:p>
    <w:p w:rsidR="00A77508" w:rsidRPr="00A77508" w:rsidRDefault="00FB7F77" w:rsidP="00A77508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508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proofErr w:type="gramStart"/>
      <w:r w:rsidR="00A77508" w:rsidRPr="00A77508">
        <w:rPr>
          <w:rFonts w:ascii="Times New Roman" w:hAnsi="Times New Roman" w:cs="Times New Roman"/>
          <w:sz w:val="24"/>
          <w:szCs w:val="24"/>
        </w:rPr>
        <w:t>В соответствии с Законом Курганской области от 06.10.2011 года № 61 «О бесплатном предоставлении земельных участков для индивидуального жилищного строительства на территории Курганской области» в 2015 году предоставлено 162 земельных участка площадью 19,4023 га (в том числе: гражданам, имеющим 3 и более детей - 157 земельных участка площадью 18,767 га; молодым специалистам - 2 земельных участка площадью 0,3 га;</w:t>
      </w:r>
      <w:proofErr w:type="gramEnd"/>
      <w:r w:rsidR="00A77508" w:rsidRPr="00A77508">
        <w:rPr>
          <w:rFonts w:ascii="Times New Roman" w:hAnsi="Times New Roman" w:cs="Times New Roman"/>
          <w:sz w:val="24"/>
          <w:szCs w:val="24"/>
        </w:rPr>
        <w:t xml:space="preserve"> ветеранам боевых действий - 3 земельных участка площадью 0,3353 га), в 2014 году предоставлено 26 земельных участка (3,1736 га). Увеличение площади земельных участков произошло </w:t>
      </w:r>
      <w:proofErr w:type="gramStart"/>
      <w:r w:rsidR="00A77508" w:rsidRPr="00A77508">
        <w:rPr>
          <w:rFonts w:ascii="Times New Roman" w:hAnsi="Times New Roman" w:cs="Times New Roman"/>
          <w:sz w:val="24"/>
          <w:szCs w:val="24"/>
        </w:rPr>
        <w:t xml:space="preserve">за счет изысканий в обязательном порядке </w:t>
      </w:r>
      <w:r w:rsidR="00A77508" w:rsidRPr="00A77508">
        <w:rPr>
          <w:rFonts w:ascii="Times New Roman" w:hAnsi="Times New Roman" w:cs="Times New Roman"/>
          <w:sz w:val="24"/>
          <w:szCs w:val="24"/>
        </w:rPr>
        <w:lastRenderedPageBreak/>
        <w:t>земельных участков для льготных категорий граждан в соответствии с Законом</w:t>
      </w:r>
      <w:proofErr w:type="gramEnd"/>
      <w:r w:rsidR="00A77508" w:rsidRPr="00A77508">
        <w:rPr>
          <w:rFonts w:ascii="Times New Roman" w:hAnsi="Times New Roman" w:cs="Times New Roman"/>
          <w:sz w:val="24"/>
          <w:szCs w:val="24"/>
        </w:rPr>
        <w:t xml:space="preserve"> Курганской области от 06.10.2011 года №61 (с изменениями и дополнениями) на территориях муниципальных образований поселений. </w:t>
      </w:r>
    </w:p>
    <w:p w:rsidR="00A77508" w:rsidRPr="001A7D23" w:rsidRDefault="00A77508" w:rsidP="001A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A7D23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с правом возведения жилого дома  в 2015 году предоставлено 637 земельных участков площадью 77,748 га, в 2014 году предоставлено 551 земел</w:t>
      </w:r>
      <w:r w:rsidR="001A7D23" w:rsidRPr="001A7D23">
        <w:rPr>
          <w:rFonts w:ascii="Times New Roman" w:hAnsi="Times New Roman" w:cs="Times New Roman"/>
          <w:sz w:val="24"/>
          <w:szCs w:val="24"/>
        </w:rPr>
        <w:t xml:space="preserve">ьных участка площадью </w:t>
      </w:r>
      <w:r w:rsidRPr="001A7D23">
        <w:rPr>
          <w:rFonts w:ascii="Times New Roman" w:hAnsi="Times New Roman" w:cs="Times New Roman"/>
          <w:sz w:val="24"/>
          <w:szCs w:val="24"/>
        </w:rPr>
        <w:t xml:space="preserve">66,3 га. Увеличение количества предоставленных земельных участков произошло в связи с увеличением спроса физических и юридических лиц.   </w:t>
      </w:r>
    </w:p>
    <w:p w:rsidR="00A77508" w:rsidRPr="001A7D23" w:rsidRDefault="00A77508" w:rsidP="001A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A7D23">
        <w:rPr>
          <w:rFonts w:ascii="Times New Roman" w:hAnsi="Times New Roman" w:cs="Times New Roman"/>
          <w:sz w:val="24"/>
          <w:szCs w:val="24"/>
        </w:rPr>
        <w:t xml:space="preserve">Доля многоквартирных жилых домов, расположенных на земельных участках, в отношении которых осуществлен государственный кадастровый учет в 2015 году составила </w:t>
      </w:r>
      <w:r w:rsidR="001A7D23" w:rsidRPr="001A7D23">
        <w:rPr>
          <w:rFonts w:ascii="Times New Roman" w:hAnsi="Times New Roman" w:cs="Times New Roman"/>
          <w:sz w:val="24"/>
          <w:szCs w:val="24"/>
        </w:rPr>
        <w:t>86,0</w:t>
      </w:r>
      <w:r w:rsidRPr="001A7D23">
        <w:rPr>
          <w:rFonts w:ascii="Times New Roman" w:hAnsi="Times New Roman" w:cs="Times New Roman"/>
          <w:sz w:val="24"/>
          <w:szCs w:val="24"/>
        </w:rPr>
        <w:t xml:space="preserve">% и увеличилась на 3,21%. За 2015 год поставлено на кадастровый учет 104 земельных участка под многоквартирными домами. </w:t>
      </w:r>
    </w:p>
    <w:p w:rsidR="0029288C" w:rsidRPr="00CD58D4" w:rsidRDefault="0029288C" w:rsidP="00A77508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1C26A0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A0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23E13" w:rsidRPr="00CD58D4" w:rsidRDefault="00F23E13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3606" w:rsidRPr="005E07C1" w:rsidRDefault="00153606" w:rsidP="001C26A0">
      <w:pPr>
        <w:pStyle w:val="a3"/>
        <w:spacing w:before="0" w:beforeAutospacing="0" w:after="0" w:afterAutospacing="0"/>
        <w:ind w:firstLine="708"/>
        <w:jc w:val="both"/>
      </w:pPr>
      <w:r w:rsidRPr="005E07C1">
        <w:t>На 01.01.2016 года все собственники помещений в многоквартирных домах выбрали один из способов управления многоквартирными домами, в соответствии с Жилищным кодексом РФ.</w:t>
      </w:r>
    </w:p>
    <w:p w:rsidR="00153606" w:rsidRPr="005E07C1" w:rsidRDefault="00153606" w:rsidP="00153606">
      <w:pPr>
        <w:pStyle w:val="a3"/>
        <w:spacing w:before="0" w:beforeAutospacing="0" w:after="0" w:afterAutospacing="0"/>
        <w:ind w:firstLine="709"/>
        <w:jc w:val="both"/>
      </w:pPr>
      <w:r w:rsidRPr="005E07C1">
        <w:t>В районе доля организаций коммунального комплекса, в уставном капитале которых участие муниципального образования, составляет не более 25% от общего числа организаций коммунального комплекса  на 01.01.2016 г. составила 90%.</w:t>
      </w:r>
    </w:p>
    <w:p w:rsidR="00153606" w:rsidRPr="00CD58D4" w:rsidRDefault="00153606" w:rsidP="00153606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proofErr w:type="gramStart"/>
      <w:r w:rsidRPr="005E07C1">
        <w:t>Доля населения, получившего жилые помещения и улучшившего жилищные условия в 2015 году уменьшилась и составила 21,8 %, в общей численности населения, состоящего на учете в качестве нуждающегося в жилых помещениях.</w:t>
      </w:r>
      <w:proofErr w:type="gramEnd"/>
      <w:r w:rsidRPr="005E07C1">
        <w:t xml:space="preserve"> Причина снижения является увеличение граждан состоящих на учете в качестве нуждающегося в жилых помещениях. </w:t>
      </w:r>
    </w:p>
    <w:p w:rsidR="00A04764" w:rsidRPr="00CD58D4" w:rsidRDefault="00A04764" w:rsidP="00B50993">
      <w:pPr>
        <w:spacing w:after="0" w:line="240" w:lineRule="auto"/>
        <w:ind w:right="-9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4FD9" w:rsidRDefault="005C4FD9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37">
        <w:rPr>
          <w:rFonts w:ascii="Times New Roman" w:hAnsi="Times New Roman" w:cs="Times New Roman"/>
          <w:b/>
          <w:sz w:val="24"/>
          <w:szCs w:val="24"/>
        </w:rPr>
        <w:t>Органи</w:t>
      </w:r>
      <w:r w:rsidR="004920E2" w:rsidRPr="006A5C37">
        <w:rPr>
          <w:rFonts w:ascii="Times New Roman" w:hAnsi="Times New Roman" w:cs="Times New Roman"/>
          <w:b/>
          <w:sz w:val="24"/>
          <w:szCs w:val="24"/>
        </w:rPr>
        <w:t>зация муниципального управления</w:t>
      </w:r>
    </w:p>
    <w:p w:rsidR="006A5C37" w:rsidRPr="006A5C37" w:rsidRDefault="006A5C37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37" w:rsidRPr="001666DF" w:rsidRDefault="00AD5C37" w:rsidP="00AD5C37">
      <w:pPr>
        <w:pStyle w:val="a3"/>
        <w:spacing w:before="0" w:beforeAutospacing="0" w:after="0" w:afterAutospacing="0"/>
        <w:ind w:firstLine="709"/>
        <w:jc w:val="both"/>
      </w:pPr>
      <w:r w:rsidRPr="001666DF">
        <w:t>В 201</w:t>
      </w:r>
      <w:r>
        <w:t>5</w:t>
      </w:r>
      <w:r w:rsidRPr="001666DF">
        <w:t xml:space="preserve"> году продолжалась работа по усилению финансовой устойчивости местного бюджета – обеспечение объема бюджетных доходов в размере, необходимом для выполнения обязательств. </w:t>
      </w:r>
    </w:p>
    <w:p w:rsidR="00AD5C37" w:rsidRPr="00171B11" w:rsidRDefault="00FC2E58" w:rsidP="00FC2E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AD5C37" w:rsidRPr="00171B11">
        <w:rPr>
          <w:rFonts w:ascii="Times New Roman" w:eastAsia="Times New Roman" w:hAnsi="Times New Roman"/>
          <w:sz w:val="24"/>
          <w:szCs w:val="24"/>
        </w:rPr>
        <w:t>онсолидированный бюджет по доходам за 2015 год испо</w:t>
      </w:r>
      <w:r w:rsidR="00AD5C37">
        <w:rPr>
          <w:rFonts w:ascii="Times New Roman" w:eastAsia="Times New Roman" w:hAnsi="Times New Roman"/>
          <w:sz w:val="24"/>
          <w:szCs w:val="24"/>
        </w:rPr>
        <w:t>лнен в сумме 1 066 973 тыс. руб.. П</w:t>
      </w:r>
      <w:r w:rsidR="00AD5C37" w:rsidRPr="00171B11">
        <w:rPr>
          <w:rFonts w:ascii="Times New Roman" w:eastAsia="Times New Roman" w:hAnsi="Times New Roman"/>
          <w:sz w:val="24"/>
          <w:szCs w:val="24"/>
        </w:rPr>
        <w:t>о сравнению с 2014 годом поступление доходов в 2015 году возросло на 9 253 тыс. руб. или 0,9 %. Объем собственных доход</w:t>
      </w:r>
      <w:r w:rsidR="00AD5C37">
        <w:rPr>
          <w:rFonts w:ascii="Times New Roman" w:eastAsia="Times New Roman" w:hAnsi="Times New Roman"/>
          <w:sz w:val="24"/>
          <w:szCs w:val="24"/>
        </w:rPr>
        <w:t>ов составляет 285 451 тыс. руб.,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AD5C37" w:rsidRPr="00171B11">
        <w:rPr>
          <w:rFonts w:ascii="Times New Roman" w:eastAsia="Times New Roman" w:hAnsi="Times New Roman"/>
          <w:sz w:val="24"/>
          <w:szCs w:val="24"/>
        </w:rPr>
        <w:t>т</w:t>
      </w:r>
      <w:r w:rsidR="00AD5C37">
        <w:rPr>
          <w:rFonts w:ascii="Times New Roman" w:eastAsia="Times New Roman" w:hAnsi="Times New Roman"/>
          <w:sz w:val="24"/>
          <w:szCs w:val="24"/>
        </w:rPr>
        <w:t>.</w:t>
      </w:r>
      <w:r w:rsidR="00AD5C37" w:rsidRPr="00171B11">
        <w:rPr>
          <w:rFonts w:ascii="Times New Roman" w:eastAsia="Times New Roman" w:hAnsi="Times New Roman"/>
          <w:sz w:val="24"/>
          <w:szCs w:val="24"/>
        </w:rPr>
        <w:t>ч. 281 404 тыс</w:t>
      </w:r>
      <w:proofErr w:type="gramStart"/>
      <w:r w:rsidR="00AD5C37" w:rsidRPr="00171B11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AD5C37" w:rsidRPr="00171B11">
        <w:rPr>
          <w:rFonts w:ascii="Times New Roman" w:eastAsia="Times New Roman" w:hAnsi="Times New Roman"/>
          <w:sz w:val="24"/>
          <w:szCs w:val="24"/>
        </w:rPr>
        <w:t>уб. приходится на налоговые и неналоговые доходы</w:t>
      </w:r>
      <w:r w:rsidR="00AD5C37">
        <w:rPr>
          <w:rFonts w:ascii="Times New Roman" w:eastAsia="Times New Roman" w:hAnsi="Times New Roman"/>
          <w:sz w:val="24"/>
          <w:szCs w:val="24"/>
        </w:rPr>
        <w:t xml:space="preserve">, 4 047 тыс. </w:t>
      </w:r>
      <w:r w:rsidR="00AD5C37" w:rsidRPr="00171B11">
        <w:rPr>
          <w:rFonts w:ascii="Times New Roman" w:eastAsia="Times New Roman" w:hAnsi="Times New Roman"/>
          <w:sz w:val="24"/>
          <w:szCs w:val="24"/>
        </w:rPr>
        <w:t>руб. на прочие безвозмездные поступления. Поступление собственных доходов  выше уровня прошлого года на  41 229 тыс. руб. или 16,9 %. </w:t>
      </w:r>
    </w:p>
    <w:p w:rsidR="00AD5C37" w:rsidRPr="00171B11" w:rsidRDefault="00AD5C37" w:rsidP="00AD5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1B11">
        <w:rPr>
          <w:rFonts w:ascii="Times New Roman" w:eastAsia="Times New Roman" w:hAnsi="Times New Roman"/>
          <w:sz w:val="24"/>
          <w:szCs w:val="24"/>
        </w:rPr>
        <w:t>           Увеличилось поступление  н</w:t>
      </w:r>
      <w:r>
        <w:rPr>
          <w:rFonts w:ascii="Times New Roman" w:eastAsia="Times New Roman" w:hAnsi="Times New Roman"/>
          <w:sz w:val="24"/>
          <w:szCs w:val="24"/>
        </w:rPr>
        <w:t xml:space="preserve">алога на доходы физических лиц, акцизов на нефтепродукты, </w:t>
      </w:r>
      <w:r w:rsidRPr="00171B11">
        <w:rPr>
          <w:rFonts w:ascii="Times New Roman" w:eastAsia="Times New Roman" w:hAnsi="Times New Roman"/>
          <w:sz w:val="24"/>
          <w:szCs w:val="24"/>
        </w:rPr>
        <w:t>единого налога на вменённый доход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71B11">
        <w:rPr>
          <w:rFonts w:ascii="Times New Roman" w:eastAsia="Times New Roman" w:hAnsi="Times New Roman"/>
          <w:sz w:val="24"/>
          <w:szCs w:val="24"/>
        </w:rPr>
        <w:t xml:space="preserve"> единого сельхозналога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71B11">
        <w:rPr>
          <w:rFonts w:ascii="Times New Roman" w:eastAsia="Times New Roman" w:hAnsi="Times New Roman"/>
          <w:sz w:val="24"/>
          <w:szCs w:val="24"/>
        </w:rPr>
        <w:t xml:space="preserve"> налога на имущество физических лиц</w:t>
      </w:r>
      <w:r>
        <w:rPr>
          <w:rFonts w:ascii="Times New Roman" w:eastAsia="Times New Roman" w:hAnsi="Times New Roman"/>
          <w:sz w:val="24"/>
          <w:szCs w:val="24"/>
        </w:rPr>
        <w:t xml:space="preserve">, земельного налога, госпошлины, </w:t>
      </w:r>
      <w:r w:rsidRPr="00171B11">
        <w:rPr>
          <w:rFonts w:ascii="Times New Roman" w:eastAsia="Times New Roman" w:hAnsi="Times New Roman"/>
          <w:sz w:val="24"/>
          <w:szCs w:val="24"/>
        </w:rPr>
        <w:t>дох</w:t>
      </w:r>
      <w:r>
        <w:rPr>
          <w:rFonts w:ascii="Times New Roman" w:eastAsia="Times New Roman" w:hAnsi="Times New Roman"/>
          <w:sz w:val="24"/>
          <w:szCs w:val="24"/>
        </w:rPr>
        <w:t>одов от использования имущества,</w:t>
      </w:r>
      <w:r w:rsidRPr="00171B11">
        <w:rPr>
          <w:rFonts w:ascii="Times New Roman" w:eastAsia="Times New Roman" w:hAnsi="Times New Roman"/>
          <w:sz w:val="24"/>
          <w:szCs w:val="24"/>
        </w:rPr>
        <w:t xml:space="preserve"> оказания платных услуг и</w:t>
      </w:r>
      <w:r>
        <w:rPr>
          <w:rFonts w:ascii="Times New Roman" w:eastAsia="Times New Roman" w:hAnsi="Times New Roman"/>
          <w:sz w:val="24"/>
          <w:szCs w:val="24"/>
        </w:rPr>
        <w:t xml:space="preserve"> компенсации затрат государства.</w:t>
      </w:r>
    </w:p>
    <w:p w:rsidR="00AD5C37" w:rsidRDefault="00AD5C37" w:rsidP="00AD5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11">
        <w:rPr>
          <w:rFonts w:ascii="Times New Roman" w:eastAsia="Times New Roman" w:hAnsi="Times New Roman"/>
          <w:sz w:val="24"/>
          <w:szCs w:val="24"/>
        </w:rPr>
        <w:t xml:space="preserve">         В структуре собственных доходов консолидированного бюджета </w:t>
      </w:r>
      <w:proofErr w:type="spellStart"/>
      <w:r w:rsidRPr="00171B11">
        <w:rPr>
          <w:rFonts w:ascii="Times New Roman" w:eastAsia="Times New Roman" w:hAnsi="Times New Roman"/>
          <w:sz w:val="24"/>
          <w:szCs w:val="24"/>
        </w:rPr>
        <w:t>Кетовского</w:t>
      </w:r>
      <w:proofErr w:type="spellEnd"/>
      <w:r w:rsidRPr="00171B11">
        <w:rPr>
          <w:rFonts w:ascii="Times New Roman" w:eastAsia="Times New Roman" w:hAnsi="Times New Roman"/>
          <w:sz w:val="24"/>
          <w:szCs w:val="24"/>
        </w:rPr>
        <w:t xml:space="preserve"> района наибольший удельный вес занимает налог на доходы физических лиц - 54,3 % (в 2014 г -55,6%). В общем объеме доходов бюджета финансовая помощь составляет 781 667 тыс</w:t>
      </w:r>
      <w:proofErr w:type="gramStart"/>
      <w:r w:rsidRPr="00171B11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171B11">
        <w:rPr>
          <w:rFonts w:ascii="Times New Roman" w:eastAsia="Times New Roman" w:hAnsi="Times New Roman"/>
          <w:sz w:val="24"/>
          <w:szCs w:val="24"/>
        </w:rPr>
        <w:t>уб. или 73,3 % (в 2014 г - 76,9%), на собственные доходы приходится 26,7 % (в 2014 г - 23,1%). </w:t>
      </w:r>
    </w:p>
    <w:p w:rsidR="00AD5C37" w:rsidRDefault="00AD5C37" w:rsidP="00AD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1D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</w:t>
      </w:r>
      <w:r w:rsidRPr="003A24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администраторами доходов бюджета, 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</w:t>
      </w:r>
      <w:r w:rsidR="0026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проводимые мероприятия, </w:t>
      </w:r>
      <w:r w:rsidRPr="003A241D">
        <w:rPr>
          <w:rFonts w:ascii="Times New Roman" w:hAnsi="Times New Roman" w:cs="Times New Roman"/>
          <w:color w:val="000000"/>
          <w:sz w:val="24"/>
          <w:szCs w:val="24"/>
        </w:rPr>
        <w:t>остается высокой дебиторская задолженность по неналоговым доходам - на 01.01.201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A241D">
        <w:rPr>
          <w:rFonts w:ascii="Times New Roman" w:hAnsi="Times New Roman" w:cs="Times New Roman"/>
          <w:color w:val="000000"/>
          <w:sz w:val="24"/>
          <w:szCs w:val="24"/>
        </w:rPr>
        <w:t xml:space="preserve"> г </w:t>
      </w:r>
      <w:r w:rsidRPr="003A24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составляет 5,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241D">
        <w:rPr>
          <w:rFonts w:ascii="Times New Roman" w:hAnsi="Times New Roman" w:cs="Times New Roman"/>
          <w:color w:val="000000"/>
          <w:sz w:val="24"/>
          <w:szCs w:val="24"/>
        </w:rPr>
        <w:t xml:space="preserve"> млн. руб., недоимка по налогам и сборам в местный бюджет составляет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A241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A241D">
        <w:rPr>
          <w:rFonts w:ascii="Times New Roman" w:hAnsi="Times New Roman" w:cs="Times New Roman"/>
          <w:color w:val="000000"/>
          <w:sz w:val="24"/>
          <w:szCs w:val="24"/>
        </w:rPr>
        <w:t xml:space="preserve"> млн. руб.</w:t>
      </w:r>
    </w:p>
    <w:p w:rsidR="00AD5C37" w:rsidRPr="00F82FA6" w:rsidRDefault="00AD5C37" w:rsidP="00AD5C37">
      <w:pPr>
        <w:pStyle w:val="a3"/>
        <w:spacing w:before="0" w:beforeAutospacing="0" w:after="0" w:afterAutospacing="0"/>
        <w:ind w:firstLine="709"/>
        <w:jc w:val="both"/>
      </w:pPr>
      <w:r w:rsidRPr="00F82FA6">
        <w:rPr>
          <w:b/>
        </w:rPr>
        <w:t xml:space="preserve">Доля налоговых и неналоговых доходов местного бюджета в общем объеме собственных доходов бюджета </w:t>
      </w:r>
      <w:r w:rsidRPr="00F82FA6">
        <w:t>муниципального образования (без учета субвенций) в 201</w:t>
      </w:r>
      <w:r>
        <w:t>5</w:t>
      </w:r>
      <w:r w:rsidRPr="00F82FA6">
        <w:t xml:space="preserve"> г составила 3</w:t>
      </w:r>
      <w:r>
        <w:t>8,9</w:t>
      </w:r>
      <w:r w:rsidRPr="00F82FA6">
        <w:t>% (201</w:t>
      </w:r>
      <w:r>
        <w:t>4</w:t>
      </w:r>
      <w:r w:rsidRPr="00F82FA6">
        <w:t xml:space="preserve"> г – </w:t>
      </w:r>
      <w:r>
        <w:t>30,0</w:t>
      </w:r>
      <w:r w:rsidRPr="00F82FA6">
        <w:t xml:space="preserve">%). </w:t>
      </w:r>
    </w:p>
    <w:p w:rsidR="00AD5C37" w:rsidRPr="003A241D" w:rsidRDefault="00AD5C37" w:rsidP="00AD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241D">
        <w:rPr>
          <w:rFonts w:ascii="Times New Roman" w:hAnsi="Times New Roman" w:cs="Times New Roman"/>
          <w:sz w:val="24"/>
          <w:szCs w:val="24"/>
        </w:rPr>
        <w:t xml:space="preserve"> г расходы по консолидированному бюджету составили 1 066,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5B11">
        <w:rPr>
          <w:rFonts w:ascii="Times New Roman" w:hAnsi="Times New Roman" w:cs="Times New Roman"/>
          <w:sz w:val="24"/>
          <w:szCs w:val="24"/>
        </w:rPr>
        <w:t xml:space="preserve"> </w:t>
      </w:r>
      <w:r w:rsidRPr="003A241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3A24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41D">
        <w:rPr>
          <w:rFonts w:ascii="Times New Roman" w:hAnsi="Times New Roman" w:cs="Times New Roman"/>
          <w:sz w:val="24"/>
          <w:szCs w:val="24"/>
        </w:rPr>
        <w:t xml:space="preserve">уб.. Основной группой расходов консолидированного бюджета </w:t>
      </w:r>
      <w:proofErr w:type="spellStart"/>
      <w:r w:rsidRPr="003A241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A241D">
        <w:rPr>
          <w:rFonts w:ascii="Times New Roman" w:hAnsi="Times New Roman" w:cs="Times New Roman"/>
          <w:sz w:val="24"/>
          <w:szCs w:val="24"/>
        </w:rPr>
        <w:t xml:space="preserve"> района, по</w:t>
      </w:r>
      <w:r w:rsidR="00A95B11">
        <w:rPr>
          <w:rFonts w:ascii="Times New Roman" w:hAnsi="Times New Roman" w:cs="Times New Roman"/>
          <w:sz w:val="24"/>
          <w:szCs w:val="24"/>
        </w:rPr>
        <w:t xml:space="preserve"> </w:t>
      </w:r>
      <w:r w:rsidRPr="003A241D">
        <w:rPr>
          <w:rFonts w:ascii="Times New Roman" w:hAnsi="Times New Roman" w:cs="Times New Roman"/>
          <w:sz w:val="24"/>
          <w:szCs w:val="24"/>
        </w:rPr>
        <w:t xml:space="preserve">прежнему, являются расходы на социально-культурные цели </w:t>
      </w:r>
      <w:r>
        <w:rPr>
          <w:rFonts w:ascii="Times New Roman" w:hAnsi="Times New Roman" w:cs="Times New Roman"/>
          <w:sz w:val="24"/>
          <w:szCs w:val="24"/>
        </w:rPr>
        <w:t>–72,0</w:t>
      </w:r>
      <w:r w:rsidRPr="003A241D">
        <w:rPr>
          <w:rFonts w:ascii="Times New Roman" w:hAnsi="Times New Roman" w:cs="Times New Roman"/>
          <w:sz w:val="24"/>
          <w:szCs w:val="24"/>
        </w:rPr>
        <w:t xml:space="preserve"> % от общего объема расходов консолидированного бюджета. или </w:t>
      </w:r>
      <w:r>
        <w:rPr>
          <w:rFonts w:ascii="Times New Roman" w:hAnsi="Times New Roman" w:cs="Times New Roman"/>
          <w:sz w:val="24"/>
          <w:szCs w:val="24"/>
        </w:rPr>
        <w:t>767,6</w:t>
      </w:r>
      <w:r w:rsidRPr="003A241D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AD5C37" w:rsidRDefault="00AD5C37" w:rsidP="00AD5C3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E0C72">
        <w:rPr>
          <w:b/>
        </w:rPr>
        <w:t>Расходы бюджета на содержание работников органов местного самоуправления в расчёте на одного жителя</w:t>
      </w:r>
      <w:r w:rsidRPr="001E0C72">
        <w:t xml:space="preserve"> выросли на 1</w:t>
      </w:r>
      <w:r>
        <w:t>0</w:t>
      </w:r>
      <w:r w:rsidRPr="001E0C72">
        <w:t>,</w:t>
      </w:r>
      <w:r>
        <w:t>5</w:t>
      </w:r>
      <w:r w:rsidRPr="001E0C72">
        <w:t xml:space="preserve">% за счёт </w:t>
      </w:r>
      <w:r>
        <w:t xml:space="preserve">перевода из </w:t>
      </w:r>
      <w:proofErr w:type="spellStart"/>
      <w:r w:rsidR="000A53AA">
        <w:t>Колесниковского</w:t>
      </w:r>
      <w:proofErr w:type="spellEnd"/>
      <w:r w:rsidR="000A53AA">
        <w:t xml:space="preserve"> сельсовета 1 ставки</w:t>
      </w:r>
      <w:r>
        <w:t xml:space="preserve"> главного бухгалтера в Финансовый отдел главным специалистом централизованной бухгалтерии</w:t>
      </w:r>
      <w:r w:rsidRPr="001E0C72">
        <w:t xml:space="preserve"> и кассовых расходов (в 201</w:t>
      </w:r>
      <w:r>
        <w:t>5</w:t>
      </w:r>
      <w:r w:rsidRPr="001E0C72">
        <w:t xml:space="preserve"> году кассовые расходы выросли за счёт погашения задолженности по налогам за 201</w:t>
      </w:r>
      <w:r>
        <w:t>4</w:t>
      </w:r>
      <w:r w:rsidRPr="001E0C72">
        <w:t xml:space="preserve"> год).</w:t>
      </w:r>
      <w:proofErr w:type="gramEnd"/>
    </w:p>
    <w:p w:rsidR="00AD5C37" w:rsidRPr="001E0C72" w:rsidRDefault="00AD5C37" w:rsidP="00AD5C37">
      <w:pPr>
        <w:pStyle w:val="a3"/>
        <w:spacing w:before="0" w:beforeAutospacing="0" w:after="0" w:afterAutospacing="0"/>
        <w:ind w:firstLine="709"/>
        <w:jc w:val="both"/>
      </w:pPr>
      <w:r w:rsidRPr="00313D38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</w:t>
      </w:r>
      <w:r w:rsidRPr="00313D38">
        <w:t xml:space="preserve"> в общем объеме расходов муниципального образования на оплату труда (включая начисления на оплату труда)</w:t>
      </w:r>
      <w:r w:rsidR="000A53AA">
        <w:t xml:space="preserve"> </w:t>
      </w:r>
      <w:r>
        <w:t xml:space="preserve">в 2015 году </w:t>
      </w:r>
      <w:bookmarkStart w:id="0" w:name="_GoBack"/>
      <w:bookmarkEnd w:id="0"/>
      <w:r>
        <w:t xml:space="preserve">составляет 8%, ввиду образования просроченной задолженности по начислениям на заработную плату в сумме 43152 т.р. </w:t>
      </w:r>
    </w:p>
    <w:p w:rsidR="004B2A98" w:rsidRPr="006605C6" w:rsidRDefault="004B2A98" w:rsidP="00B50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C6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органа местного самоуправления</w:t>
      </w:r>
      <w:r w:rsidR="00B34430" w:rsidRPr="00660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9E" w:rsidRPr="006605C6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Pr="006605C6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605C6" w:rsidRPr="006605C6">
        <w:rPr>
          <w:rFonts w:ascii="Times New Roman" w:hAnsi="Times New Roman" w:cs="Times New Roman"/>
          <w:sz w:val="24"/>
          <w:szCs w:val="24"/>
        </w:rPr>
        <w:t>66,7</w:t>
      </w:r>
      <w:r w:rsidRPr="006605C6">
        <w:rPr>
          <w:rFonts w:ascii="Times New Roman" w:hAnsi="Times New Roman" w:cs="Times New Roman"/>
          <w:sz w:val="24"/>
          <w:szCs w:val="24"/>
        </w:rPr>
        <w:t>%</w:t>
      </w:r>
      <w:r w:rsidRPr="006605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05C6">
        <w:rPr>
          <w:rFonts w:ascii="Times New Roman" w:hAnsi="Times New Roman" w:cs="Times New Roman"/>
          <w:sz w:val="24"/>
          <w:szCs w:val="24"/>
        </w:rPr>
        <w:t>201</w:t>
      </w:r>
      <w:r w:rsidR="006605C6" w:rsidRPr="006605C6">
        <w:rPr>
          <w:rFonts w:ascii="Times New Roman" w:hAnsi="Times New Roman" w:cs="Times New Roman"/>
          <w:sz w:val="24"/>
          <w:szCs w:val="24"/>
        </w:rPr>
        <w:t>4</w:t>
      </w:r>
      <w:r w:rsidRPr="006605C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605C6" w:rsidRPr="006605C6">
        <w:rPr>
          <w:rFonts w:ascii="Times New Roman" w:hAnsi="Times New Roman" w:cs="Times New Roman"/>
          <w:sz w:val="24"/>
          <w:szCs w:val="24"/>
        </w:rPr>
        <w:t>53,4</w:t>
      </w:r>
      <w:r w:rsidRPr="006605C6">
        <w:rPr>
          <w:rFonts w:ascii="Times New Roman" w:hAnsi="Times New Roman" w:cs="Times New Roman"/>
          <w:sz w:val="24"/>
          <w:szCs w:val="24"/>
        </w:rPr>
        <w:t>%)</w:t>
      </w:r>
      <w:r w:rsidR="00993767" w:rsidRPr="006605C6">
        <w:rPr>
          <w:rFonts w:ascii="Times New Roman" w:hAnsi="Times New Roman" w:cs="Times New Roman"/>
          <w:sz w:val="24"/>
          <w:szCs w:val="24"/>
        </w:rPr>
        <w:t>.</w:t>
      </w:r>
    </w:p>
    <w:p w:rsidR="00230EB4" w:rsidRPr="00F03C25" w:rsidRDefault="00AC6AED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ADB">
        <w:rPr>
          <w:rFonts w:ascii="Times New Roman" w:hAnsi="Times New Roman" w:cs="Times New Roman"/>
          <w:b/>
          <w:sz w:val="24"/>
          <w:szCs w:val="24"/>
        </w:rPr>
        <w:t>Среднегодовая ч</w:t>
      </w:r>
      <w:r w:rsidR="005C4FD9" w:rsidRPr="00C96ADB">
        <w:rPr>
          <w:rFonts w:ascii="Times New Roman" w:hAnsi="Times New Roman" w:cs="Times New Roman"/>
          <w:b/>
          <w:sz w:val="24"/>
          <w:szCs w:val="24"/>
        </w:rPr>
        <w:t>исленн</w:t>
      </w:r>
      <w:r w:rsidRPr="00C96ADB">
        <w:rPr>
          <w:rFonts w:ascii="Times New Roman" w:hAnsi="Times New Roman" w:cs="Times New Roman"/>
          <w:b/>
          <w:sz w:val="24"/>
          <w:szCs w:val="24"/>
        </w:rPr>
        <w:t>ость населения</w:t>
      </w:r>
      <w:r w:rsidRPr="00C96ADB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="0029288C" w:rsidRPr="00C96ADB">
        <w:rPr>
          <w:rFonts w:ascii="Times New Roman" w:hAnsi="Times New Roman" w:cs="Times New Roman"/>
          <w:sz w:val="24"/>
          <w:szCs w:val="24"/>
        </w:rPr>
        <w:t xml:space="preserve"> на </w:t>
      </w:r>
      <w:r w:rsidR="00424E95" w:rsidRPr="00C96ADB">
        <w:rPr>
          <w:rFonts w:ascii="Times New Roman" w:hAnsi="Times New Roman" w:cs="Times New Roman"/>
          <w:sz w:val="24"/>
          <w:szCs w:val="24"/>
        </w:rPr>
        <w:t>0,2% (128</w:t>
      </w:r>
      <w:r w:rsidR="0029288C" w:rsidRPr="00C96ADB">
        <w:rPr>
          <w:rFonts w:ascii="Times New Roman" w:hAnsi="Times New Roman" w:cs="Times New Roman"/>
          <w:sz w:val="24"/>
          <w:szCs w:val="24"/>
        </w:rPr>
        <w:t xml:space="preserve"> чел)</w:t>
      </w:r>
      <w:r w:rsidR="005C4FD9" w:rsidRPr="00C96ADB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424E95" w:rsidRPr="00C96ADB">
        <w:rPr>
          <w:rFonts w:ascii="Times New Roman" w:hAnsi="Times New Roman" w:cs="Times New Roman"/>
          <w:sz w:val="24"/>
          <w:szCs w:val="24"/>
        </w:rPr>
        <w:t>61028</w:t>
      </w:r>
      <w:r w:rsidR="0029288C" w:rsidRPr="00C96ADB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4FD9" w:rsidRPr="00C96ADB">
        <w:rPr>
          <w:rFonts w:ascii="Times New Roman" w:hAnsi="Times New Roman" w:cs="Times New Roman"/>
          <w:sz w:val="24"/>
          <w:szCs w:val="24"/>
        </w:rPr>
        <w:t>20</w:t>
      </w:r>
      <w:r w:rsidRPr="00C96ADB">
        <w:rPr>
          <w:rFonts w:ascii="Times New Roman" w:hAnsi="Times New Roman" w:cs="Times New Roman"/>
          <w:sz w:val="24"/>
          <w:szCs w:val="24"/>
        </w:rPr>
        <w:t>1</w:t>
      </w:r>
      <w:r w:rsidR="00424E95" w:rsidRPr="00C96ADB">
        <w:rPr>
          <w:rFonts w:ascii="Times New Roman" w:hAnsi="Times New Roman" w:cs="Times New Roman"/>
          <w:sz w:val="24"/>
          <w:szCs w:val="24"/>
        </w:rPr>
        <w:t>4</w:t>
      </w:r>
      <w:r w:rsidR="005C4FD9" w:rsidRPr="00C96AD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24E95" w:rsidRPr="00C96ADB">
        <w:rPr>
          <w:rFonts w:ascii="Times New Roman" w:hAnsi="Times New Roman" w:cs="Times New Roman"/>
          <w:sz w:val="24"/>
          <w:szCs w:val="24"/>
        </w:rPr>
        <w:t>60900</w:t>
      </w:r>
      <w:r w:rsidR="005C4FD9" w:rsidRPr="00C96ADB">
        <w:rPr>
          <w:rFonts w:ascii="Times New Roman" w:hAnsi="Times New Roman" w:cs="Times New Roman"/>
          <w:sz w:val="24"/>
          <w:szCs w:val="24"/>
        </w:rPr>
        <w:t xml:space="preserve"> чел)</w:t>
      </w:r>
      <w:r w:rsidRPr="00C96ADB">
        <w:rPr>
          <w:rFonts w:ascii="Times New Roman" w:hAnsi="Times New Roman" w:cs="Times New Roman"/>
          <w:sz w:val="24"/>
          <w:szCs w:val="24"/>
        </w:rPr>
        <w:t>.</w:t>
      </w:r>
      <w:r w:rsidR="001E612E" w:rsidRPr="00C96ADB">
        <w:rPr>
          <w:rFonts w:ascii="Times New Roman" w:hAnsi="Times New Roman" w:cs="Times New Roman"/>
          <w:sz w:val="24"/>
          <w:szCs w:val="24"/>
        </w:rPr>
        <w:t xml:space="preserve"> </w:t>
      </w:r>
      <w:r w:rsidR="003F749B" w:rsidRPr="00C96ADB">
        <w:rPr>
          <w:rFonts w:ascii="Times New Roman" w:hAnsi="Times New Roman" w:cs="Times New Roman"/>
          <w:sz w:val="24"/>
          <w:szCs w:val="24"/>
        </w:rPr>
        <w:t>В 201</w:t>
      </w:r>
      <w:r w:rsidR="00424E95" w:rsidRPr="00C96ADB">
        <w:rPr>
          <w:rFonts w:ascii="Times New Roman" w:hAnsi="Times New Roman" w:cs="Times New Roman"/>
          <w:sz w:val="24"/>
          <w:szCs w:val="24"/>
        </w:rPr>
        <w:t>5</w:t>
      </w:r>
      <w:r w:rsidR="003F749B" w:rsidRPr="00C96AD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30EB4" w:rsidRPr="00C96A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30EB4" w:rsidRPr="00C96ADB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230EB4" w:rsidRPr="00C96ADB">
        <w:rPr>
          <w:rFonts w:ascii="Times New Roman" w:hAnsi="Times New Roman" w:cs="Times New Roman"/>
          <w:sz w:val="24"/>
          <w:szCs w:val="24"/>
        </w:rPr>
        <w:t xml:space="preserve"> районе родилось </w:t>
      </w:r>
      <w:r w:rsidR="00446BB5" w:rsidRPr="00C96ADB">
        <w:rPr>
          <w:rFonts w:ascii="Times New Roman" w:hAnsi="Times New Roman" w:cs="Times New Roman"/>
          <w:sz w:val="24"/>
          <w:szCs w:val="24"/>
        </w:rPr>
        <w:t>630</w:t>
      </w:r>
      <w:r w:rsidR="00230EB4" w:rsidRPr="00C96AD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C96ADB">
        <w:rPr>
          <w:rFonts w:ascii="Times New Roman" w:hAnsi="Times New Roman" w:cs="Times New Roman"/>
          <w:sz w:val="24"/>
          <w:szCs w:val="24"/>
        </w:rPr>
        <w:t xml:space="preserve"> (201</w:t>
      </w:r>
      <w:r w:rsidR="00446BB5" w:rsidRPr="00C96ADB">
        <w:rPr>
          <w:rFonts w:ascii="Times New Roman" w:hAnsi="Times New Roman" w:cs="Times New Roman"/>
          <w:sz w:val="24"/>
          <w:szCs w:val="24"/>
        </w:rPr>
        <w:t>4</w:t>
      </w:r>
      <w:r w:rsidR="00AD5DA8" w:rsidRPr="00C96ADB">
        <w:rPr>
          <w:rFonts w:ascii="Times New Roman" w:hAnsi="Times New Roman" w:cs="Times New Roman"/>
          <w:sz w:val="24"/>
          <w:szCs w:val="24"/>
        </w:rPr>
        <w:t xml:space="preserve"> г. – </w:t>
      </w:r>
      <w:r w:rsidR="00A75262" w:rsidRPr="00C96ADB">
        <w:rPr>
          <w:rFonts w:ascii="Times New Roman" w:hAnsi="Times New Roman" w:cs="Times New Roman"/>
          <w:sz w:val="24"/>
          <w:szCs w:val="24"/>
        </w:rPr>
        <w:t>727</w:t>
      </w:r>
      <w:r w:rsidR="00E01660" w:rsidRPr="00C96AD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C96ADB">
        <w:rPr>
          <w:rFonts w:ascii="Times New Roman" w:hAnsi="Times New Roman" w:cs="Times New Roman"/>
          <w:sz w:val="24"/>
          <w:szCs w:val="24"/>
        </w:rPr>
        <w:t>)</w:t>
      </w:r>
      <w:r w:rsidR="00230EB4" w:rsidRPr="00C96ADB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446BB5" w:rsidRPr="00C96ADB">
        <w:rPr>
          <w:rFonts w:ascii="Times New Roman" w:hAnsi="Times New Roman" w:cs="Times New Roman"/>
          <w:sz w:val="24"/>
          <w:szCs w:val="24"/>
        </w:rPr>
        <w:t xml:space="preserve">788 </w:t>
      </w:r>
      <w:r w:rsidR="00AD5DA8" w:rsidRPr="00C96ADB">
        <w:rPr>
          <w:rFonts w:ascii="Times New Roman" w:hAnsi="Times New Roman" w:cs="Times New Roman"/>
          <w:sz w:val="24"/>
          <w:szCs w:val="24"/>
        </w:rPr>
        <w:t>человек (201</w:t>
      </w:r>
      <w:r w:rsidR="00446BB5" w:rsidRPr="00C96ADB">
        <w:rPr>
          <w:rFonts w:ascii="Times New Roman" w:hAnsi="Times New Roman" w:cs="Times New Roman"/>
          <w:sz w:val="24"/>
          <w:szCs w:val="24"/>
        </w:rPr>
        <w:t>4</w:t>
      </w:r>
      <w:r w:rsidR="00AD5DA8" w:rsidRPr="00C96ADB">
        <w:rPr>
          <w:rFonts w:ascii="Times New Roman" w:hAnsi="Times New Roman" w:cs="Times New Roman"/>
          <w:sz w:val="24"/>
          <w:szCs w:val="24"/>
        </w:rPr>
        <w:t xml:space="preserve"> г. – </w:t>
      </w:r>
      <w:r w:rsidR="00A75262" w:rsidRPr="00C96ADB">
        <w:rPr>
          <w:rFonts w:ascii="Times New Roman" w:hAnsi="Times New Roman" w:cs="Times New Roman"/>
          <w:sz w:val="24"/>
          <w:szCs w:val="24"/>
        </w:rPr>
        <w:t xml:space="preserve">760 </w:t>
      </w:r>
      <w:r w:rsidR="00E01660" w:rsidRPr="00C96ADB">
        <w:rPr>
          <w:rFonts w:ascii="Times New Roman" w:hAnsi="Times New Roman" w:cs="Times New Roman"/>
          <w:sz w:val="24"/>
          <w:szCs w:val="24"/>
        </w:rPr>
        <w:t>чел.</w:t>
      </w:r>
      <w:r w:rsidR="00AD5DA8" w:rsidRPr="00C96ADB">
        <w:rPr>
          <w:rFonts w:ascii="Times New Roman" w:hAnsi="Times New Roman" w:cs="Times New Roman"/>
          <w:sz w:val="24"/>
          <w:szCs w:val="24"/>
        </w:rPr>
        <w:t>)</w:t>
      </w:r>
      <w:r w:rsidR="00230EB4" w:rsidRPr="00C96ADB">
        <w:rPr>
          <w:rFonts w:ascii="Times New Roman" w:hAnsi="Times New Roman" w:cs="Times New Roman"/>
          <w:sz w:val="24"/>
          <w:szCs w:val="24"/>
        </w:rPr>
        <w:t>, естественн</w:t>
      </w:r>
      <w:r w:rsidR="00AD5DA8" w:rsidRPr="00C96ADB">
        <w:rPr>
          <w:rFonts w:ascii="Times New Roman" w:hAnsi="Times New Roman" w:cs="Times New Roman"/>
          <w:sz w:val="24"/>
          <w:szCs w:val="24"/>
        </w:rPr>
        <w:t>ая</w:t>
      </w:r>
      <w:r w:rsidR="00230EB4" w:rsidRPr="00C96ADB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C96ADB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230EB4" w:rsidRPr="00C96ADB">
        <w:rPr>
          <w:rFonts w:ascii="Times New Roman" w:hAnsi="Times New Roman" w:cs="Times New Roman"/>
          <w:sz w:val="24"/>
          <w:szCs w:val="24"/>
        </w:rPr>
        <w:t>населения составил</w:t>
      </w:r>
      <w:r w:rsidR="00AD5DA8" w:rsidRPr="00C96ADB">
        <w:rPr>
          <w:rFonts w:ascii="Times New Roman" w:hAnsi="Times New Roman" w:cs="Times New Roman"/>
          <w:sz w:val="24"/>
          <w:szCs w:val="24"/>
        </w:rPr>
        <w:t>а</w:t>
      </w:r>
      <w:r w:rsidR="00230EB4" w:rsidRPr="00C96ADB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C96ADB">
        <w:rPr>
          <w:rFonts w:ascii="Times New Roman" w:hAnsi="Times New Roman" w:cs="Times New Roman"/>
          <w:sz w:val="24"/>
          <w:szCs w:val="24"/>
        </w:rPr>
        <w:t>158</w:t>
      </w:r>
      <w:r w:rsidR="00230EB4" w:rsidRPr="00C96AD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1660" w:rsidRPr="00C96ADB">
        <w:rPr>
          <w:rFonts w:ascii="Times New Roman" w:hAnsi="Times New Roman" w:cs="Times New Roman"/>
          <w:sz w:val="24"/>
          <w:szCs w:val="24"/>
        </w:rPr>
        <w:t xml:space="preserve"> (201</w:t>
      </w:r>
      <w:r w:rsidR="00666F13" w:rsidRPr="00C96ADB">
        <w:rPr>
          <w:rFonts w:ascii="Times New Roman" w:hAnsi="Times New Roman" w:cs="Times New Roman"/>
          <w:sz w:val="24"/>
          <w:szCs w:val="24"/>
        </w:rPr>
        <w:t>4</w:t>
      </w:r>
      <w:r w:rsidR="00E01660" w:rsidRPr="00C96ADB">
        <w:rPr>
          <w:rFonts w:ascii="Times New Roman" w:hAnsi="Times New Roman" w:cs="Times New Roman"/>
          <w:sz w:val="24"/>
          <w:szCs w:val="24"/>
        </w:rPr>
        <w:t xml:space="preserve"> г. – естественн</w:t>
      </w:r>
      <w:r w:rsidR="00666F13" w:rsidRPr="00C96ADB">
        <w:rPr>
          <w:rFonts w:ascii="Times New Roman" w:hAnsi="Times New Roman" w:cs="Times New Roman"/>
          <w:sz w:val="24"/>
          <w:szCs w:val="24"/>
        </w:rPr>
        <w:t>ая</w:t>
      </w:r>
      <w:r w:rsidR="00E01660" w:rsidRPr="00C96ADB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C96ADB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E01660" w:rsidRPr="00C96ADB">
        <w:rPr>
          <w:rFonts w:ascii="Times New Roman" w:hAnsi="Times New Roman" w:cs="Times New Roman"/>
          <w:sz w:val="24"/>
          <w:szCs w:val="24"/>
        </w:rPr>
        <w:t xml:space="preserve"> – </w:t>
      </w:r>
      <w:r w:rsidR="00666F13" w:rsidRPr="00C96ADB">
        <w:rPr>
          <w:rFonts w:ascii="Times New Roman" w:hAnsi="Times New Roman" w:cs="Times New Roman"/>
          <w:sz w:val="24"/>
          <w:szCs w:val="24"/>
        </w:rPr>
        <w:t>33</w:t>
      </w:r>
      <w:r w:rsidR="00E01660" w:rsidRPr="00C96ADB">
        <w:rPr>
          <w:rFonts w:ascii="Times New Roman" w:hAnsi="Times New Roman" w:cs="Times New Roman"/>
          <w:sz w:val="24"/>
          <w:szCs w:val="24"/>
        </w:rPr>
        <w:t xml:space="preserve"> чел.)</w:t>
      </w:r>
      <w:r w:rsidR="00FA38CF" w:rsidRPr="00C96ADB">
        <w:rPr>
          <w:rFonts w:ascii="Times New Roman" w:hAnsi="Times New Roman" w:cs="Times New Roman"/>
          <w:sz w:val="24"/>
          <w:szCs w:val="24"/>
        </w:rPr>
        <w:t>.</w:t>
      </w:r>
      <w:r w:rsidR="00FA38CF" w:rsidRPr="00CD58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356" w:rsidRPr="00F03C25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жительство в район прибыло </w:t>
      </w:r>
      <w:r w:rsidR="005B753A" w:rsidRPr="00F03C25">
        <w:rPr>
          <w:rFonts w:ascii="Times New Roman" w:hAnsi="Times New Roman" w:cs="Times New Roman"/>
          <w:sz w:val="24"/>
          <w:szCs w:val="24"/>
        </w:rPr>
        <w:t>3253</w:t>
      </w:r>
      <w:r w:rsidR="009E4356" w:rsidRPr="00F03C25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(201</w:t>
      </w:r>
      <w:r w:rsidR="005B753A" w:rsidRPr="00F03C25">
        <w:rPr>
          <w:rFonts w:ascii="Times New Roman" w:hAnsi="Times New Roman" w:cs="Times New Roman"/>
          <w:sz w:val="24"/>
          <w:szCs w:val="24"/>
        </w:rPr>
        <w:t>4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г. – </w:t>
      </w:r>
      <w:r w:rsidR="00B54260" w:rsidRPr="00F03C25">
        <w:rPr>
          <w:rFonts w:ascii="Times New Roman" w:hAnsi="Times New Roman" w:cs="Times New Roman"/>
          <w:sz w:val="24"/>
          <w:szCs w:val="24"/>
        </w:rPr>
        <w:t>3848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E4356" w:rsidRPr="00F03C25">
        <w:rPr>
          <w:rFonts w:ascii="Times New Roman" w:hAnsi="Times New Roman" w:cs="Times New Roman"/>
          <w:sz w:val="24"/>
          <w:szCs w:val="24"/>
        </w:rPr>
        <w:t xml:space="preserve"> убыло в другую местность -</w:t>
      </w:r>
      <w:r w:rsidR="00B54260" w:rsidRPr="00F03C25">
        <w:rPr>
          <w:rFonts w:ascii="Times New Roman" w:hAnsi="Times New Roman" w:cs="Times New Roman"/>
          <w:sz w:val="24"/>
          <w:szCs w:val="24"/>
        </w:rPr>
        <w:t>3034</w:t>
      </w:r>
      <w:r w:rsidR="009E4356" w:rsidRPr="00F03C25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(201</w:t>
      </w:r>
      <w:r w:rsidR="00B54260" w:rsidRPr="00F03C25">
        <w:rPr>
          <w:rFonts w:ascii="Times New Roman" w:hAnsi="Times New Roman" w:cs="Times New Roman"/>
          <w:sz w:val="24"/>
          <w:szCs w:val="24"/>
        </w:rPr>
        <w:t>4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г. – </w:t>
      </w:r>
      <w:r w:rsidR="00B54260" w:rsidRPr="00F03C25">
        <w:rPr>
          <w:rFonts w:ascii="Times New Roman" w:hAnsi="Times New Roman" w:cs="Times New Roman"/>
          <w:sz w:val="24"/>
          <w:szCs w:val="24"/>
        </w:rPr>
        <w:t xml:space="preserve">3690 </w:t>
      </w:r>
      <w:r w:rsidR="00E01660" w:rsidRPr="00F03C25">
        <w:rPr>
          <w:rFonts w:ascii="Times New Roman" w:hAnsi="Times New Roman" w:cs="Times New Roman"/>
          <w:sz w:val="24"/>
          <w:szCs w:val="24"/>
        </w:rPr>
        <w:t>чел.),</w:t>
      </w:r>
      <w:r w:rsidR="009E4356" w:rsidRPr="00F03C25">
        <w:rPr>
          <w:rFonts w:ascii="Times New Roman" w:hAnsi="Times New Roman" w:cs="Times New Roman"/>
          <w:sz w:val="24"/>
          <w:szCs w:val="24"/>
        </w:rPr>
        <w:t xml:space="preserve"> миграционный прирост составил </w:t>
      </w:r>
      <w:r w:rsidR="00B54260" w:rsidRPr="00F03C25">
        <w:rPr>
          <w:rFonts w:ascii="Times New Roman" w:hAnsi="Times New Roman" w:cs="Times New Roman"/>
          <w:sz w:val="24"/>
          <w:szCs w:val="24"/>
        </w:rPr>
        <w:t>219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</w:t>
      </w:r>
      <w:r w:rsidR="009E4356" w:rsidRPr="00F03C25">
        <w:rPr>
          <w:rFonts w:ascii="Times New Roman" w:hAnsi="Times New Roman" w:cs="Times New Roman"/>
          <w:sz w:val="24"/>
          <w:szCs w:val="24"/>
        </w:rPr>
        <w:t xml:space="preserve"> чел.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(2013г. – </w:t>
      </w:r>
      <w:r w:rsidR="00B54260" w:rsidRPr="00F03C25">
        <w:rPr>
          <w:rFonts w:ascii="Times New Roman" w:hAnsi="Times New Roman" w:cs="Times New Roman"/>
          <w:sz w:val="24"/>
          <w:szCs w:val="24"/>
        </w:rPr>
        <w:t>158</w:t>
      </w:r>
      <w:r w:rsidR="00E01660" w:rsidRPr="00F03C25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424E95" w:rsidRPr="00CD58D4" w:rsidRDefault="00424E95" w:rsidP="00230EB4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5C4FD9" w:rsidRPr="00684EF2" w:rsidRDefault="00431B1B" w:rsidP="00B50993">
      <w:pPr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0902" w:rsidRPr="00CD58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F53639" w:rsidRPr="00CD58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545C" w:rsidRPr="00CD58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4FD9" w:rsidRPr="00684EF2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6A5C37" w:rsidRPr="006A5C37" w:rsidRDefault="006A5C37" w:rsidP="006A5C37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37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целевой программы «Энергосбережение и повышение энергетической эффективности на территории </w:t>
      </w:r>
      <w:proofErr w:type="spellStart"/>
      <w:r w:rsidRPr="006A5C3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A5C37">
        <w:rPr>
          <w:rFonts w:ascii="Times New Roman" w:hAnsi="Times New Roman" w:cs="Times New Roman"/>
          <w:sz w:val="24"/>
          <w:szCs w:val="24"/>
        </w:rPr>
        <w:t xml:space="preserve"> района на 2010-2015 года и перспективу до 2020 года», в п. Введенское на поквартирное отопление  переведено 6 многоквартирных домов  площадью 11,3 тыс. кв.м. </w:t>
      </w:r>
      <w:r w:rsidRPr="006A5C37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Завершено строительство 2  котельных сумма инвестиций составила 3,5 млн. руб.</w:t>
      </w:r>
      <w:r w:rsidRPr="006A5C37">
        <w:rPr>
          <w:rFonts w:ascii="Times New Roman" w:hAnsi="Times New Roman" w:cs="Times New Roman"/>
          <w:sz w:val="24"/>
          <w:szCs w:val="24"/>
        </w:rPr>
        <w:t>- в муниципальных образованиях реконструировано  6,5 км</w:t>
      </w:r>
      <w:proofErr w:type="gramStart"/>
      <w:r w:rsidRPr="006A5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C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5C37">
        <w:rPr>
          <w:rFonts w:ascii="Times New Roman" w:hAnsi="Times New Roman" w:cs="Times New Roman"/>
          <w:sz w:val="24"/>
          <w:szCs w:val="24"/>
        </w:rPr>
        <w:t xml:space="preserve">личного освещения, в учреждениях образования установлено 41 энергосберегающих окон, заменено 612 ламп накаливания на энергосберегающие. В многоквартирном жилом фонде установлено 300 энергосберегающих ламп, утеплено 52 входных групп мест общего пользования, установлено 30 дверей в подвальных и чердачных помещениях </w:t>
      </w:r>
      <w:r w:rsidR="00684EF2">
        <w:rPr>
          <w:rFonts w:ascii="Times New Roman" w:hAnsi="Times New Roman" w:cs="Times New Roman"/>
          <w:sz w:val="24"/>
          <w:szCs w:val="24"/>
        </w:rPr>
        <w:t>многоквартирных домов</w:t>
      </w:r>
      <w:proofErr w:type="gramStart"/>
      <w:r w:rsidR="00684EF2">
        <w:rPr>
          <w:rFonts w:ascii="Times New Roman" w:hAnsi="Times New Roman" w:cs="Times New Roman"/>
          <w:sz w:val="24"/>
          <w:szCs w:val="24"/>
        </w:rPr>
        <w:t xml:space="preserve"> </w:t>
      </w:r>
      <w:r w:rsidRPr="006A5C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C37">
        <w:rPr>
          <w:rFonts w:ascii="Times New Roman" w:hAnsi="Times New Roman" w:cs="Times New Roman"/>
          <w:sz w:val="24"/>
          <w:szCs w:val="24"/>
        </w:rPr>
        <w:t xml:space="preserve"> заменено 0,8 км трубопроводов систем отопления  в подвальных помещениях </w:t>
      </w:r>
      <w:r w:rsidR="00684EF2">
        <w:rPr>
          <w:rFonts w:ascii="Times New Roman" w:hAnsi="Times New Roman" w:cs="Times New Roman"/>
          <w:sz w:val="24"/>
          <w:szCs w:val="24"/>
        </w:rPr>
        <w:t>многоквартирных домов.</w:t>
      </w:r>
      <w:r w:rsidRPr="006A5C37">
        <w:rPr>
          <w:rFonts w:ascii="Times New Roman" w:hAnsi="Times New Roman" w:cs="Times New Roman"/>
          <w:sz w:val="24"/>
          <w:szCs w:val="24"/>
        </w:rPr>
        <w:t xml:space="preserve"> За счет энергосберегающих мероприятий в многоквартирных домах экономия составила в 2015 году  электроэнергии на 0,7 %, холодной воды 0,6 % в сравнении с 2014 годом. В бюджетных учреждениях экономия электроэнергии составила 14,2 %, снизился расход тепловой энергии на 19,1 %, потребление воды сократилось на  3 % в сравнении с 2014 годом.</w:t>
      </w:r>
    </w:p>
    <w:p w:rsidR="009F0846" w:rsidRPr="000B4AF2" w:rsidRDefault="009F0846" w:rsidP="00B50993">
      <w:pPr>
        <w:tabs>
          <w:tab w:val="right" w:pos="901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6750" w:rsidRPr="0029288C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29288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9288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9288C">
        <w:rPr>
          <w:rFonts w:ascii="Times New Roman" w:hAnsi="Times New Roman" w:cs="Times New Roman"/>
          <w:sz w:val="24"/>
          <w:szCs w:val="24"/>
        </w:rPr>
        <w:t xml:space="preserve"> района                              </w:t>
      </w:r>
      <w:r w:rsidR="00D047EA" w:rsidRPr="0029288C">
        <w:rPr>
          <w:rFonts w:ascii="Times New Roman" w:hAnsi="Times New Roman" w:cs="Times New Roman"/>
          <w:sz w:val="24"/>
          <w:szCs w:val="24"/>
        </w:rPr>
        <w:t xml:space="preserve"> </w:t>
      </w:r>
      <w:r w:rsidRPr="0029288C">
        <w:rPr>
          <w:rFonts w:ascii="Times New Roman" w:hAnsi="Times New Roman" w:cs="Times New Roman"/>
          <w:sz w:val="24"/>
          <w:szCs w:val="24"/>
        </w:rPr>
        <w:t xml:space="preserve">       </w:t>
      </w:r>
      <w:r w:rsidR="004920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288C">
        <w:rPr>
          <w:rFonts w:ascii="Times New Roman" w:hAnsi="Times New Roman" w:cs="Times New Roman"/>
          <w:sz w:val="24"/>
          <w:szCs w:val="24"/>
        </w:rPr>
        <w:t xml:space="preserve"> </w:t>
      </w:r>
      <w:r w:rsidR="005F4697" w:rsidRPr="0029288C">
        <w:rPr>
          <w:rFonts w:ascii="Times New Roman" w:hAnsi="Times New Roman" w:cs="Times New Roman"/>
          <w:sz w:val="24"/>
          <w:szCs w:val="24"/>
        </w:rPr>
        <w:t xml:space="preserve"> </w:t>
      </w:r>
      <w:r w:rsidRPr="0029288C">
        <w:rPr>
          <w:rFonts w:ascii="Times New Roman" w:hAnsi="Times New Roman" w:cs="Times New Roman"/>
          <w:sz w:val="24"/>
          <w:szCs w:val="24"/>
        </w:rPr>
        <w:t xml:space="preserve">      </w:t>
      </w:r>
      <w:r w:rsidR="002928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28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2BD9">
        <w:rPr>
          <w:rFonts w:ascii="Times New Roman" w:hAnsi="Times New Roman" w:cs="Times New Roman"/>
          <w:sz w:val="24"/>
          <w:szCs w:val="24"/>
        </w:rPr>
        <w:t>А.В. Носков</w:t>
      </w:r>
      <w:r w:rsidRPr="0029288C">
        <w:rPr>
          <w:rFonts w:ascii="Times New Roman" w:hAnsi="Times New Roman" w:cs="Times New Roman"/>
          <w:sz w:val="24"/>
          <w:szCs w:val="24"/>
        </w:rPr>
        <w:t>.</w:t>
      </w:r>
    </w:p>
    <w:sectPr w:rsidR="00E96750" w:rsidRPr="0029288C" w:rsidSect="004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463E8"/>
    <w:multiLevelType w:val="hybridMultilevel"/>
    <w:tmpl w:val="11CE8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1049D4"/>
    <w:multiLevelType w:val="hybridMultilevel"/>
    <w:tmpl w:val="87F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92B"/>
    <w:multiLevelType w:val="hybridMultilevel"/>
    <w:tmpl w:val="22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FD9"/>
    <w:rsid w:val="00002AC0"/>
    <w:rsid w:val="000032CB"/>
    <w:rsid w:val="0003209E"/>
    <w:rsid w:val="000321A9"/>
    <w:rsid w:val="00036500"/>
    <w:rsid w:val="000410F8"/>
    <w:rsid w:val="00044665"/>
    <w:rsid w:val="00046B6F"/>
    <w:rsid w:val="000479EA"/>
    <w:rsid w:val="00061E2C"/>
    <w:rsid w:val="0006605C"/>
    <w:rsid w:val="00085758"/>
    <w:rsid w:val="00097412"/>
    <w:rsid w:val="000A1915"/>
    <w:rsid w:val="000A53AA"/>
    <w:rsid w:val="000B4459"/>
    <w:rsid w:val="000B4AF2"/>
    <w:rsid w:val="000B53E8"/>
    <w:rsid w:val="000B76B1"/>
    <w:rsid w:val="000C116C"/>
    <w:rsid w:val="000C2DF2"/>
    <w:rsid w:val="000C6646"/>
    <w:rsid w:val="000E4996"/>
    <w:rsid w:val="000F3DBC"/>
    <w:rsid w:val="000F508F"/>
    <w:rsid w:val="00105847"/>
    <w:rsid w:val="00106620"/>
    <w:rsid w:val="00110775"/>
    <w:rsid w:val="0011136D"/>
    <w:rsid w:val="00112A5C"/>
    <w:rsid w:val="00116B36"/>
    <w:rsid w:val="001172DE"/>
    <w:rsid w:val="001202A2"/>
    <w:rsid w:val="0012738E"/>
    <w:rsid w:val="00140E69"/>
    <w:rsid w:val="00150A60"/>
    <w:rsid w:val="00150F4E"/>
    <w:rsid w:val="00153606"/>
    <w:rsid w:val="00153E49"/>
    <w:rsid w:val="00157DF3"/>
    <w:rsid w:val="00160032"/>
    <w:rsid w:val="001632C2"/>
    <w:rsid w:val="00163D0E"/>
    <w:rsid w:val="001666DF"/>
    <w:rsid w:val="00167A47"/>
    <w:rsid w:val="00172C5C"/>
    <w:rsid w:val="00183EDC"/>
    <w:rsid w:val="00186E46"/>
    <w:rsid w:val="001A7D23"/>
    <w:rsid w:val="001B1340"/>
    <w:rsid w:val="001B7A0C"/>
    <w:rsid w:val="001C26A0"/>
    <w:rsid w:val="001C3CAF"/>
    <w:rsid w:val="001C6632"/>
    <w:rsid w:val="001D2EDA"/>
    <w:rsid w:val="001E0C72"/>
    <w:rsid w:val="001E612E"/>
    <w:rsid w:val="001F0C75"/>
    <w:rsid w:val="002040D5"/>
    <w:rsid w:val="002157CA"/>
    <w:rsid w:val="002165F3"/>
    <w:rsid w:val="00230EB4"/>
    <w:rsid w:val="00235867"/>
    <w:rsid w:val="00241B01"/>
    <w:rsid w:val="00243F6E"/>
    <w:rsid w:val="0024670E"/>
    <w:rsid w:val="0025214C"/>
    <w:rsid w:val="00254346"/>
    <w:rsid w:val="002558A1"/>
    <w:rsid w:val="002631B2"/>
    <w:rsid w:val="002813DD"/>
    <w:rsid w:val="0029288C"/>
    <w:rsid w:val="002A2953"/>
    <w:rsid w:val="002A46D9"/>
    <w:rsid w:val="002A5908"/>
    <w:rsid w:val="002C2A7E"/>
    <w:rsid w:val="002D0B1C"/>
    <w:rsid w:val="002D2F71"/>
    <w:rsid w:val="002D542C"/>
    <w:rsid w:val="002E0DB3"/>
    <w:rsid w:val="002E14EE"/>
    <w:rsid w:val="002E5D40"/>
    <w:rsid w:val="002E73FA"/>
    <w:rsid w:val="002F2E98"/>
    <w:rsid w:val="002F584A"/>
    <w:rsid w:val="0030000A"/>
    <w:rsid w:val="0032086E"/>
    <w:rsid w:val="00320E5A"/>
    <w:rsid w:val="00321252"/>
    <w:rsid w:val="00322B24"/>
    <w:rsid w:val="00322F51"/>
    <w:rsid w:val="00325638"/>
    <w:rsid w:val="0032643F"/>
    <w:rsid w:val="00327DF1"/>
    <w:rsid w:val="00330EEC"/>
    <w:rsid w:val="00331274"/>
    <w:rsid w:val="0033390C"/>
    <w:rsid w:val="00356621"/>
    <w:rsid w:val="00357C01"/>
    <w:rsid w:val="0036170D"/>
    <w:rsid w:val="00361A86"/>
    <w:rsid w:val="00361F28"/>
    <w:rsid w:val="0036231F"/>
    <w:rsid w:val="00364D35"/>
    <w:rsid w:val="0037470A"/>
    <w:rsid w:val="003800C1"/>
    <w:rsid w:val="00383739"/>
    <w:rsid w:val="00386CA6"/>
    <w:rsid w:val="00394D88"/>
    <w:rsid w:val="003961B4"/>
    <w:rsid w:val="00397C2E"/>
    <w:rsid w:val="003A241D"/>
    <w:rsid w:val="003A72C7"/>
    <w:rsid w:val="003A7BAD"/>
    <w:rsid w:val="003A7FC9"/>
    <w:rsid w:val="003B0C95"/>
    <w:rsid w:val="003C3F5B"/>
    <w:rsid w:val="003D48D5"/>
    <w:rsid w:val="003D4FCE"/>
    <w:rsid w:val="003D5AB3"/>
    <w:rsid w:val="003D67B1"/>
    <w:rsid w:val="003E03BF"/>
    <w:rsid w:val="003E09DC"/>
    <w:rsid w:val="003E707E"/>
    <w:rsid w:val="003F0D9E"/>
    <w:rsid w:val="003F164D"/>
    <w:rsid w:val="003F749B"/>
    <w:rsid w:val="0040285E"/>
    <w:rsid w:val="004038D0"/>
    <w:rsid w:val="0040568B"/>
    <w:rsid w:val="00406459"/>
    <w:rsid w:val="00407CDE"/>
    <w:rsid w:val="0042278A"/>
    <w:rsid w:val="004230D4"/>
    <w:rsid w:val="00424E95"/>
    <w:rsid w:val="0042527B"/>
    <w:rsid w:val="00425D0E"/>
    <w:rsid w:val="0042623B"/>
    <w:rsid w:val="004267CD"/>
    <w:rsid w:val="00431B1B"/>
    <w:rsid w:val="00432EC5"/>
    <w:rsid w:val="00435D20"/>
    <w:rsid w:val="00440FFE"/>
    <w:rsid w:val="00446BB5"/>
    <w:rsid w:val="00462179"/>
    <w:rsid w:val="00466FC5"/>
    <w:rsid w:val="004804D9"/>
    <w:rsid w:val="00483E39"/>
    <w:rsid w:val="004920E2"/>
    <w:rsid w:val="00493DA6"/>
    <w:rsid w:val="00496C18"/>
    <w:rsid w:val="004B2A98"/>
    <w:rsid w:val="004B58D7"/>
    <w:rsid w:val="004C5552"/>
    <w:rsid w:val="004C61A4"/>
    <w:rsid w:val="004D10C2"/>
    <w:rsid w:val="004D1CD9"/>
    <w:rsid w:val="004D57DF"/>
    <w:rsid w:val="004E4201"/>
    <w:rsid w:val="004F1D6A"/>
    <w:rsid w:val="00506E41"/>
    <w:rsid w:val="00520D6F"/>
    <w:rsid w:val="00523E84"/>
    <w:rsid w:val="00531106"/>
    <w:rsid w:val="00533EFD"/>
    <w:rsid w:val="0053442B"/>
    <w:rsid w:val="00546DF3"/>
    <w:rsid w:val="0055520C"/>
    <w:rsid w:val="005603F4"/>
    <w:rsid w:val="005632F4"/>
    <w:rsid w:val="00563B39"/>
    <w:rsid w:val="00572CBC"/>
    <w:rsid w:val="00577C0C"/>
    <w:rsid w:val="005814F7"/>
    <w:rsid w:val="005850B5"/>
    <w:rsid w:val="00592100"/>
    <w:rsid w:val="005941CA"/>
    <w:rsid w:val="0059649B"/>
    <w:rsid w:val="005A265A"/>
    <w:rsid w:val="005B753A"/>
    <w:rsid w:val="005C4FD9"/>
    <w:rsid w:val="005E07C1"/>
    <w:rsid w:val="005E33DA"/>
    <w:rsid w:val="005E3518"/>
    <w:rsid w:val="005E3586"/>
    <w:rsid w:val="005E5216"/>
    <w:rsid w:val="005F4697"/>
    <w:rsid w:val="006026BE"/>
    <w:rsid w:val="0060333D"/>
    <w:rsid w:val="00616169"/>
    <w:rsid w:val="00616881"/>
    <w:rsid w:val="0063216F"/>
    <w:rsid w:val="006373E4"/>
    <w:rsid w:val="00640C93"/>
    <w:rsid w:val="00645E41"/>
    <w:rsid w:val="00650217"/>
    <w:rsid w:val="006526A5"/>
    <w:rsid w:val="006568A0"/>
    <w:rsid w:val="006605C6"/>
    <w:rsid w:val="00666F13"/>
    <w:rsid w:val="00682255"/>
    <w:rsid w:val="00684EF2"/>
    <w:rsid w:val="006860A2"/>
    <w:rsid w:val="00695842"/>
    <w:rsid w:val="006A37E6"/>
    <w:rsid w:val="006A5C37"/>
    <w:rsid w:val="006B3CC7"/>
    <w:rsid w:val="006C6456"/>
    <w:rsid w:val="006D04E0"/>
    <w:rsid w:val="006D7975"/>
    <w:rsid w:val="006E17B1"/>
    <w:rsid w:val="006F5C5D"/>
    <w:rsid w:val="0070006D"/>
    <w:rsid w:val="00704CED"/>
    <w:rsid w:val="00705BA5"/>
    <w:rsid w:val="0070722C"/>
    <w:rsid w:val="00712252"/>
    <w:rsid w:val="0071240C"/>
    <w:rsid w:val="00712BAB"/>
    <w:rsid w:val="00717C49"/>
    <w:rsid w:val="0072021D"/>
    <w:rsid w:val="00720C89"/>
    <w:rsid w:val="00730202"/>
    <w:rsid w:val="00730902"/>
    <w:rsid w:val="00731D61"/>
    <w:rsid w:val="00744075"/>
    <w:rsid w:val="007455CB"/>
    <w:rsid w:val="0075097B"/>
    <w:rsid w:val="00757BC5"/>
    <w:rsid w:val="0076446E"/>
    <w:rsid w:val="007752BA"/>
    <w:rsid w:val="00775A40"/>
    <w:rsid w:val="00784679"/>
    <w:rsid w:val="00786224"/>
    <w:rsid w:val="007910FE"/>
    <w:rsid w:val="007922BF"/>
    <w:rsid w:val="007B12DB"/>
    <w:rsid w:val="007B72B5"/>
    <w:rsid w:val="007D0282"/>
    <w:rsid w:val="007D55F1"/>
    <w:rsid w:val="007D5B41"/>
    <w:rsid w:val="007D631C"/>
    <w:rsid w:val="007D67D7"/>
    <w:rsid w:val="007E61DB"/>
    <w:rsid w:val="007F2A4F"/>
    <w:rsid w:val="00802C25"/>
    <w:rsid w:val="0080752A"/>
    <w:rsid w:val="00811CD3"/>
    <w:rsid w:val="008120AC"/>
    <w:rsid w:val="008168C2"/>
    <w:rsid w:val="00817844"/>
    <w:rsid w:val="00822145"/>
    <w:rsid w:val="008236E9"/>
    <w:rsid w:val="008263AC"/>
    <w:rsid w:val="00832A39"/>
    <w:rsid w:val="00833065"/>
    <w:rsid w:val="00842397"/>
    <w:rsid w:val="00842F0F"/>
    <w:rsid w:val="008435EF"/>
    <w:rsid w:val="00847989"/>
    <w:rsid w:val="00853D32"/>
    <w:rsid w:val="00857709"/>
    <w:rsid w:val="00860FD6"/>
    <w:rsid w:val="00862F20"/>
    <w:rsid w:val="00863843"/>
    <w:rsid w:val="0086426B"/>
    <w:rsid w:val="0087378A"/>
    <w:rsid w:val="0087533D"/>
    <w:rsid w:val="008831FE"/>
    <w:rsid w:val="00893B56"/>
    <w:rsid w:val="00895A72"/>
    <w:rsid w:val="0089765D"/>
    <w:rsid w:val="008A3FDD"/>
    <w:rsid w:val="008B5D43"/>
    <w:rsid w:val="008B6360"/>
    <w:rsid w:val="008C06C2"/>
    <w:rsid w:val="008C1C6C"/>
    <w:rsid w:val="008E4075"/>
    <w:rsid w:val="008E6234"/>
    <w:rsid w:val="008F4783"/>
    <w:rsid w:val="008F6738"/>
    <w:rsid w:val="00901BA3"/>
    <w:rsid w:val="0090438F"/>
    <w:rsid w:val="00906819"/>
    <w:rsid w:val="0091430A"/>
    <w:rsid w:val="0091585B"/>
    <w:rsid w:val="0093619B"/>
    <w:rsid w:val="00950B38"/>
    <w:rsid w:val="00951A41"/>
    <w:rsid w:val="0095496D"/>
    <w:rsid w:val="00965243"/>
    <w:rsid w:val="0096541F"/>
    <w:rsid w:val="009656D3"/>
    <w:rsid w:val="009762F7"/>
    <w:rsid w:val="0098042B"/>
    <w:rsid w:val="009907B5"/>
    <w:rsid w:val="0099277A"/>
    <w:rsid w:val="00992A9C"/>
    <w:rsid w:val="00993767"/>
    <w:rsid w:val="00994AD8"/>
    <w:rsid w:val="009A4CF5"/>
    <w:rsid w:val="009C4895"/>
    <w:rsid w:val="009D5F41"/>
    <w:rsid w:val="009E4356"/>
    <w:rsid w:val="009F0846"/>
    <w:rsid w:val="009F5C0D"/>
    <w:rsid w:val="009F7BCE"/>
    <w:rsid w:val="00A04764"/>
    <w:rsid w:val="00A0676A"/>
    <w:rsid w:val="00A13818"/>
    <w:rsid w:val="00A14E01"/>
    <w:rsid w:val="00A15F8D"/>
    <w:rsid w:val="00A327BE"/>
    <w:rsid w:val="00A32CF7"/>
    <w:rsid w:val="00A373B1"/>
    <w:rsid w:val="00A40365"/>
    <w:rsid w:val="00A418AF"/>
    <w:rsid w:val="00A44940"/>
    <w:rsid w:val="00A501F2"/>
    <w:rsid w:val="00A54521"/>
    <w:rsid w:val="00A642C0"/>
    <w:rsid w:val="00A6496D"/>
    <w:rsid w:val="00A73588"/>
    <w:rsid w:val="00A75262"/>
    <w:rsid w:val="00A77508"/>
    <w:rsid w:val="00A777D8"/>
    <w:rsid w:val="00A86F5A"/>
    <w:rsid w:val="00A95B11"/>
    <w:rsid w:val="00A9720D"/>
    <w:rsid w:val="00AA6FA9"/>
    <w:rsid w:val="00AB11D7"/>
    <w:rsid w:val="00AB3568"/>
    <w:rsid w:val="00AB4C36"/>
    <w:rsid w:val="00AC3D67"/>
    <w:rsid w:val="00AC5DCC"/>
    <w:rsid w:val="00AC6AED"/>
    <w:rsid w:val="00AD0069"/>
    <w:rsid w:val="00AD13EB"/>
    <w:rsid w:val="00AD5C37"/>
    <w:rsid w:val="00AD5DA8"/>
    <w:rsid w:val="00AD73C0"/>
    <w:rsid w:val="00AE6203"/>
    <w:rsid w:val="00AF1520"/>
    <w:rsid w:val="00AF682E"/>
    <w:rsid w:val="00B0480C"/>
    <w:rsid w:val="00B04ED5"/>
    <w:rsid w:val="00B2397F"/>
    <w:rsid w:val="00B31A54"/>
    <w:rsid w:val="00B34430"/>
    <w:rsid w:val="00B45596"/>
    <w:rsid w:val="00B45C72"/>
    <w:rsid w:val="00B50993"/>
    <w:rsid w:val="00B50B12"/>
    <w:rsid w:val="00B54260"/>
    <w:rsid w:val="00B54D0D"/>
    <w:rsid w:val="00B61FCD"/>
    <w:rsid w:val="00B65542"/>
    <w:rsid w:val="00B73A6D"/>
    <w:rsid w:val="00B746E9"/>
    <w:rsid w:val="00B76D46"/>
    <w:rsid w:val="00BA7841"/>
    <w:rsid w:val="00BB0ECD"/>
    <w:rsid w:val="00BB15A4"/>
    <w:rsid w:val="00BB1914"/>
    <w:rsid w:val="00BB40B9"/>
    <w:rsid w:val="00BB44A8"/>
    <w:rsid w:val="00BC0436"/>
    <w:rsid w:val="00BC3D0C"/>
    <w:rsid w:val="00BD01FE"/>
    <w:rsid w:val="00BD1189"/>
    <w:rsid w:val="00BD2BD9"/>
    <w:rsid w:val="00BD5A56"/>
    <w:rsid w:val="00BE045E"/>
    <w:rsid w:val="00BE4E16"/>
    <w:rsid w:val="00BE58AA"/>
    <w:rsid w:val="00BE7CE4"/>
    <w:rsid w:val="00BF1591"/>
    <w:rsid w:val="00BF2FAC"/>
    <w:rsid w:val="00BF352B"/>
    <w:rsid w:val="00C00A0F"/>
    <w:rsid w:val="00C04C2A"/>
    <w:rsid w:val="00C13415"/>
    <w:rsid w:val="00C15224"/>
    <w:rsid w:val="00C17900"/>
    <w:rsid w:val="00C238AF"/>
    <w:rsid w:val="00C2545C"/>
    <w:rsid w:val="00C26F5D"/>
    <w:rsid w:val="00C31C2F"/>
    <w:rsid w:val="00C33CD4"/>
    <w:rsid w:val="00C40150"/>
    <w:rsid w:val="00C43A8F"/>
    <w:rsid w:val="00C46D24"/>
    <w:rsid w:val="00C5044F"/>
    <w:rsid w:val="00C54F6C"/>
    <w:rsid w:val="00C66EBF"/>
    <w:rsid w:val="00C86D52"/>
    <w:rsid w:val="00C96818"/>
    <w:rsid w:val="00C96ADB"/>
    <w:rsid w:val="00C96F48"/>
    <w:rsid w:val="00CA0856"/>
    <w:rsid w:val="00CA0A48"/>
    <w:rsid w:val="00CA2DEE"/>
    <w:rsid w:val="00CA5CD9"/>
    <w:rsid w:val="00CA6A75"/>
    <w:rsid w:val="00CB0EAA"/>
    <w:rsid w:val="00CB65F7"/>
    <w:rsid w:val="00CC0B85"/>
    <w:rsid w:val="00CC2D2F"/>
    <w:rsid w:val="00CD58D4"/>
    <w:rsid w:val="00CE1BAA"/>
    <w:rsid w:val="00CF458D"/>
    <w:rsid w:val="00CF6671"/>
    <w:rsid w:val="00CF7762"/>
    <w:rsid w:val="00D047EA"/>
    <w:rsid w:val="00D0572E"/>
    <w:rsid w:val="00D2504C"/>
    <w:rsid w:val="00D267E9"/>
    <w:rsid w:val="00D33D4C"/>
    <w:rsid w:val="00D3441B"/>
    <w:rsid w:val="00D35907"/>
    <w:rsid w:val="00D4276E"/>
    <w:rsid w:val="00D54CDD"/>
    <w:rsid w:val="00D54ECD"/>
    <w:rsid w:val="00D75191"/>
    <w:rsid w:val="00D83CE8"/>
    <w:rsid w:val="00DC3AC5"/>
    <w:rsid w:val="00DC4D55"/>
    <w:rsid w:val="00DC72BD"/>
    <w:rsid w:val="00DD6BB2"/>
    <w:rsid w:val="00DE27E8"/>
    <w:rsid w:val="00DE34C1"/>
    <w:rsid w:val="00DF0CB1"/>
    <w:rsid w:val="00DF68AA"/>
    <w:rsid w:val="00DF7207"/>
    <w:rsid w:val="00E00005"/>
    <w:rsid w:val="00E01660"/>
    <w:rsid w:val="00E03297"/>
    <w:rsid w:val="00E11BEC"/>
    <w:rsid w:val="00E162FC"/>
    <w:rsid w:val="00E16F6B"/>
    <w:rsid w:val="00E313C6"/>
    <w:rsid w:val="00E348ED"/>
    <w:rsid w:val="00E3600B"/>
    <w:rsid w:val="00E55584"/>
    <w:rsid w:val="00E61B72"/>
    <w:rsid w:val="00E61DD1"/>
    <w:rsid w:val="00E731C0"/>
    <w:rsid w:val="00E822B6"/>
    <w:rsid w:val="00E85B3F"/>
    <w:rsid w:val="00E902EA"/>
    <w:rsid w:val="00E94E21"/>
    <w:rsid w:val="00E95866"/>
    <w:rsid w:val="00E96750"/>
    <w:rsid w:val="00EA7052"/>
    <w:rsid w:val="00EB0194"/>
    <w:rsid w:val="00EC36E3"/>
    <w:rsid w:val="00EC414D"/>
    <w:rsid w:val="00EC5E3E"/>
    <w:rsid w:val="00ED1D74"/>
    <w:rsid w:val="00ED6861"/>
    <w:rsid w:val="00EE6F6D"/>
    <w:rsid w:val="00EE7E43"/>
    <w:rsid w:val="00EE7FDA"/>
    <w:rsid w:val="00F00F9F"/>
    <w:rsid w:val="00F03322"/>
    <w:rsid w:val="00F03788"/>
    <w:rsid w:val="00F03C25"/>
    <w:rsid w:val="00F03EB4"/>
    <w:rsid w:val="00F055E4"/>
    <w:rsid w:val="00F0681F"/>
    <w:rsid w:val="00F11A44"/>
    <w:rsid w:val="00F11C59"/>
    <w:rsid w:val="00F2297F"/>
    <w:rsid w:val="00F22F16"/>
    <w:rsid w:val="00F23E13"/>
    <w:rsid w:val="00F304AD"/>
    <w:rsid w:val="00F32DDF"/>
    <w:rsid w:val="00F45052"/>
    <w:rsid w:val="00F53639"/>
    <w:rsid w:val="00F618E7"/>
    <w:rsid w:val="00F636CC"/>
    <w:rsid w:val="00F6744F"/>
    <w:rsid w:val="00F67F8F"/>
    <w:rsid w:val="00F719C5"/>
    <w:rsid w:val="00F826A6"/>
    <w:rsid w:val="00F82FA6"/>
    <w:rsid w:val="00F8528F"/>
    <w:rsid w:val="00F862E9"/>
    <w:rsid w:val="00F86378"/>
    <w:rsid w:val="00F8797E"/>
    <w:rsid w:val="00F97E09"/>
    <w:rsid w:val="00FA38CF"/>
    <w:rsid w:val="00FA53C8"/>
    <w:rsid w:val="00FA5682"/>
    <w:rsid w:val="00FA79C9"/>
    <w:rsid w:val="00FB57E4"/>
    <w:rsid w:val="00FB7F77"/>
    <w:rsid w:val="00FC2E58"/>
    <w:rsid w:val="00FC6BAA"/>
    <w:rsid w:val="00FD15FD"/>
    <w:rsid w:val="00FD6F52"/>
    <w:rsid w:val="00FE3379"/>
    <w:rsid w:val="00FE41B4"/>
    <w:rsid w:val="00FF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4">
    <w:name w:val="No Spacing"/>
    <w:uiPriority w:val="1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Title"/>
    <w:basedOn w:val="a"/>
    <w:link w:val="a8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Plain Text"/>
    <w:basedOn w:val="a"/>
    <w:link w:val="aa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e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2">
    <w:name w:val="Strong"/>
    <w:basedOn w:val="a0"/>
    <w:uiPriority w:val="22"/>
    <w:qFormat/>
    <w:rsid w:val="000B76B1"/>
    <w:rPr>
      <w:b/>
      <w:bCs/>
    </w:rPr>
  </w:style>
  <w:style w:type="table" w:styleId="af3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.kurganobl.ru/assets/files/municipal/zakon/ugko_20130424_133_red_2013111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omic.kurganobl.ru/assets/files/municipal/zakon/pprf_20121217_13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c.kurganobl.ru/assets/files/municipal/zakon/uprf_20080428_607_red_20121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EBFA-DE06-479D-9116-5752609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10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Starygina</dc:creator>
  <cp:keywords/>
  <dc:description/>
  <cp:lastModifiedBy>555</cp:lastModifiedBy>
  <cp:revision>513</cp:revision>
  <cp:lastPrinted>2016-04-28T04:14:00Z</cp:lastPrinted>
  <dcterms:created xsi:type="dcterms:W3CDTF">2012-04-25T05:02:00Z</dcterms:created>
  <dcterms:modified xsi:type="dcterms:W3CDTF">2016-04-28T04:16:00Z</dcterms:modified>
</cp:coreProperties>
</file>